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540" w:type="dxa"/>
        <w:tblInd w:w="-252" w:type="dxa"/>
        <w:tblCellMar>
          <w:left w:w="10" w:type="dxa"/>
          <w:right w:w="10" w:type="dxa"/>
        </w:tblCellMar>
        <w:tblLook w:val="0000" w:firstRow="0" w:lastRow="0" w:firstColumn="0" w:lastColumn="0" w:noHBand="0" w:noVBand="0"/>
      </w:tblPr>
      <w:tblGrid>
        <w:gridCol w:w="1810"/>
        <w:gridCol w:w="7730"/>
      </w:tblGrid>
      <w:tr w:rsidR="0061004F" w:rsidTr="00415876">
        <w:tc>
          <w:tcPr>
            <w:tcW w:w="1810" w:type="dxa"/>
            <w:shd w:val="clear" w:color="auto" w:fill="auto"/>
            <w:tcMar>
              <w:top w:w="0" w:type="dxa"/>
              <w:left w:w="108" w:type="dxa"/>
              <w:bottom w:w="0" w:type="dxa"/>
              <w:right w:w="108" w:type="dxa"/>
            </w:tcMar>
          </w:tcPr>
          <w:p w:rsidR="0061004F" w:rsidRDefault="004B0D64" w:rsidP="004B0D64">
            <w:pPr>
              <w:suppressAutoHyphens w:val="0"/>
              <w:spacing w:after="0" w:line="240" w:lineRule="auto"/>
              <w:ind w:right="-98"/>
              <w:jc w:val="both"/>
              <w:textAlignment w:val="auto"/>
            </w:pPr>
            <w:r>
              <w:rPr>
                <w:rFonts w:ascii="Times New Roman" w:hAnsi="Times New Roman"/>
                <w:b/>
                <w:bCs/>
                <w:color w:val="000000"/>
                <w:sz w:val="24"/>
                <w:szCs w:val="24"/>
              </w:rPr>
              <w:t xml:space="preserve">  </w:t>
            </w:r>
            <w:r w:rsidR="0061004F">
              <w:rPr>
                <w:rFonts w:ascii="Times New Roman" w:eastAsia="Times New Roman" w:hAnsi="Times New Roman"/>
                <w:b/>
                <w:sz w:val="24"/>
                <w:szCs w:val="24"/>
                <w:lang w:eastAsia="en-GB"/>
              </w:rPr>
              <w:t xml:space="preserve">     </w:t>
            </w:r>
            <w:r w:rsidR="0061004F">
              <w:rPr>
                <w:rFonts w:ascii="Times New Roman" w:eastAsia="Times New Roman" w:hAnsi="Times New Roman"/>
                <w:b/>
                <w:noProof/>
                <w:sz w:val="28"/>
                <w:szCs w:val="24"/>
                <w:lang w:eastAsia="en-GB" w:bidi="hi-IN"/>
              </w:rPr>
              <w:drawing>
                <wp:inline distT="0" distB="0" distL="0" distR="0" wp14:anchorId="2CDC058A" wp14:editId="0FCD3B74">
                  <wp:extent cx="742950" cy="742950"/>
                  <wp:effectExtent l="0" t="0" r="0" b="0"/>
                  <wp:docPr id="1" name="Picture 3" descr="C:\Users\hr\Desktop\LOGO\Bank_Logo.jp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rcRect/>
                          <a:stretch>
                            <a:fillRect/>
                          </a:stretch>
                        </pic:blipFill>
                        <pic:spPr>
                          <a:xfrm>
                            <a:off x="0" y="0"/>
                            <a:ext cx="742950" cy="742950"/>
                          </a:xfrm>
                          <a:prstGeom prst="rect">
                            <a:avLst/>
                          </a:prstGeom>
                          <a:noFill/>
                          <a:ln>
                            <a:noFill/>
                            <a:prstDash/>
                          </a:ln>
                        </pic:spPr>
                      </pic:pic>
                    </a:graphicData>
                  </a:graphic>
                </wp:inline>
              </w:drawing>
            </w:r>
          </w:p>
        </w:tc>
        <w:tc>
          <w:tcPr>
            <w:tcW w:w="7730" w:type="dxa"/>
            <w:shd w:val="clear" w:color="auto" w:fill="auto"/>
            <w:tcMar>
              <w:top w:w="0" w:type="dxa"/>
              <w:left w:w="108" w:type="dxa"/>
              <w:bottom w:w="0" w:type="dxa"/>
              <w:right w:w="108" w:type="dxa"/>
            </w:tcMar>
          </w:tcPr>
          <w:p w:rsidR="0061004F" w:rsidRDefault="0061004F" w:rsidP="00415876">
            <w:pPr>
              <w:suppressAutoHyphens w:val="0"/>
              <w:spacing w:after="0" w:line="240" w:lineRule="auto"/>
              <w:ind w:right="-288"/>
              <w:jc w:val="both"/>
              <w:textAlignment w:val="auto"/>
              <w:rPr>
                <w:rFonts w:ascii="Times New Roman" w:eastAsia="Times New Roman" w:hAnsi="Times New Roman"/>
                <w:b/>
                <w:sz w:val="40"/>
                <w:szCs w:val="40"/>
                <w:lang w:eastAsia="en-GB"/>
              </w:rPr>
            </w:pPr>
            <w:r>
              <w:rPr>
                <w:rFonts w:ascii="Times New Roman" w:eastAsia="Times New Roman" w:hAnsi="Times New Roman"/>
                <w:b/>
                <w:sz w:val="40"/>
                <w:szCs w:val="40"/>
                <w:lang w:eastAsia="en-GB"/>
              </w:rPr>
              <w:t>INDRAPRASTHA SEHKARI BANK LTD.</w:t>
            </w:r>
          </w:p>
          <w:p w:rsidR="0061004F" w:rsidRDefault="0061004F" w:rsidP="00415876">
            <w:pPr>
              <w:suppressAutoHyphens w:val="0"/>
              <w:spacing w:after="0" w:line="240" w:lineRule="auto"/>
              <w:ind w:right="-288"/>
              <w:jc w:val="center"/>
              <w:textAlignment w:val="auto"/>
              <w:rPr>
                <w:rFonts w:ascii="Times New Roman" w:eastAsia="Times New Roman" w:hAnsi="Times New Roman"/>
                <w:sz w:val="20"/>
                <w:szCs w:val="20"/>
                <w:lang w:eastAsia="en-GB"/>
              </w:rPr>
            </w:pPr>
            <w:r>
              <w:rPr>
                <w:rFonts w:ascii="Times New Roman" w:eastAsia="Times New Roman" w:hAnsi="Times New Roman"/>
                <w:sz w:val="20"/>
                <w:szCs w:val="20"/>
                <w:lang w:eastAsia="en-GB"/>
              </w:rPr>
              <w:t xml:space="preserve">REGD. OFF.  : A-101, </w:t>
            </w:r>
            <w:proofErr w:type="spellStart"/>
            <w:r>
              <w:rPr>
                <w:rFonts w:ascii="Times New Roman" w:eastAsia="Times New Roman" w:hAnsi="Times New Roman"/>
                <w:sz w:val="20"/>
                <w:szCs w:val="20"/>
                <w:lang w:eastAsia="en-GB"/>
              </w:rPr>
              <w:t>Wazirpur</w:t>
            </w:r>
            <w:proofErr w:type="spellEnd"/>
            <w:r>
              <w:rPr>
                <w:rFonts w:ascii="Times New Roman" w:eastAsia="Times New Roman" w:hAnsi="Times New Roman"/>
                <w:sz w:val="20"/>
                <w:szCs w:val="20"/>
                <w:lang w:eastAsia="en-GB"/>
              </w:rPr>
              <w:t xml:space="preserve"> Group </w:t>
            </w:r>
            <w:proofErr w:type="spellStart"/>
            <w:r>
              <w:rPr>
                <w:rFonts w:ascii="Times New Roman" w:eastAsia="Times New Roman" w:hAnsi="Times New Roman"/>
                <w:sz w:val="20"/>
                <w:szCs w:val="20"/>
                <w:lang w:eastAsia="en-GB"/>
              </w:rPr>
              <w:t>Indl</w:t>
            </w:r>
            <w:proofErr w:type="spellEnd"/>
            <w:r>
              <w:rPr>
                <w:rFonts w:ascii="Times New Roman" w:eastAsia="Times New Roman" w:hAnsi="Times New Roman"/>
                <w:sz w:val="20"/>
                <w:szCs w:val="20"/>
                <w:lang w:eastAsia="en-GB"/>
              </w:rPr>
              <w:t>. Area,Delhi-110052</w:t>
            </w:r>
          </w:p>
          <w:p w:rsidR="0061004F" w:rsidRDefault="0061004F" w:rsidP="00415876">
            <w:pPr>
              <w:suppressAutoHyphens w:val="0"/>
              <w:spacing w:after="0" w:line="240" w:lineRule="auto"/>
              <w:ind w:right="-288"/>
              <w:jc w:val="center"/>
              <w:textAlignment w:val="auto"/>
              <w:rPr>
                <w:rFonts w:ascii="Times New Roman" w:eastAsia="Times New Roman" w:hAnsi="Times New Roman"/>
                <w:sz w:val="20"/>
                <w:szCs w:val="20"/>
                <w:lang w:eastAsia="en-GB"/>
              </w:rPr>
            </w:pPr>
            <w:r>
              <w:rPr>
                <w:rFonts w:ascii="Times New Roman" w:eastAsia="Times New Roman" w:hAnsi="Times New Roman"/>
                <w:sz w:val="20"/>
                <w:szCs w:val="20"/>
                <w:lang w:eastAsia="en-GB"/>
              </w:rPr>
              <w:t>Ph. : 45079400 (100 Lines) Fax : 45079499</w:t>
            </w:r>
          </w:p>
        </w:tc>
      </w:tr>
    </w:tbl>
    <w:p w:rsidR="003A03D9" w:rsidRPr="00CE00F0" w:rsidRDefault="004B0D64" w:rsidP="003A03D9">
      <w:pPr>
        <w:suppressAutoHyphens w:val="0"/>
        <w:spacing w:line="240" w:lineRule="auto"/>
        <w:rPr>
          <w:rFonts w:ascii="Arial Black" w:hAnsi="Arial Black"/>
          <w:b/>
          <w:bCs/>
          <w:i/>
          <w:iCs/>
          <w:color w:val="000000"/>
          <w:sz w:val="28"/>
          <w:szCs w:val="28"/>
        </w:rPr>
      </w:pPr>
      <w:r>
        <w:rPr>
          <w:rFonts w:ascii="Times New Roman" w:hAnsi="Times New Roman"/>
          <w:b/>
          <w:bCs/>
          <w:color w:val="000000"/>
          <w:sz w:val="24"/>
          <w:szCs w:val="24"/>
        </w:rPr>
        <w:t xml:space="preserve">   </w:t>
      </w:r>
      <w:r w:rsidR="003A03D9">
        <w:rPr>
          <w:rFonts w:ascii="Times New Roman" w:hAnsi="Times New Roman"/>
          <w:b/>
          <w:bCs/>
          <w:color w:val="000000"/>
          <w:sz w:val="24"/>
          <w:szCs w:val="24"/>
        </w:rPr>
        <w:t xml:space="preserve"> </w:t>
      </w:r>
      <w:r w:rsidR="003A03D9" w:rsidRPr="00CE00F0">
        <w:rPr>
          <w:rFonts w:ascii="Arial Black" w:hAnsi="Arial Black"/>
          <w:b/>
          <w:bCs/>
          <w:i/>
          <w:iCs/>
          <w:color w:val="000000"/>
          <w:sz w:val="28"/>
          <w:szCs w:val="28"/>
        </w:rPr>
        <w:t>Policy document on Issue and Conduct of Debit Cards</w:t>
      </w:r>
    </w:p>
    <w:p w:rsidR="003A03D9" w:rsidRDefault="003A03D9" w:rsidP="003A03D9">
      <w:pPr>
        <w:suppressAutoHyphens w:val="0"/>
        <w:spacing w:line="240" w:lineRule="auto"/>
        <w:jc w:val="both"/>
      </w:pPr>
      <w:r>
        <w:rPr>
          <w:rFonts w:ascii="Times New Roman" w:hAnsi="Times New Roman"/>
          <w:bCs/>
          <w:color w:val="000000"/>
          <w:sz w:val="24"/>
          <w:szCs w:val="24"/>
        </w:rPr>
        <w:t>The Reserve Bank of India has recently issued Master Directions on Issue and Conduct of Credit / Debit Cards.  The provisions of these directions relating to Debit Cards are applicable to every bank operating in India and cover the general and conduct regulations relating to cards business which shall be read with prudential, payment &amp; technology and cyber security related directions applicable to debit cards.</w:t>
      </w:r>
    </w:p>
    <w:p w:rsidR="003A03D9" w:rsidRDefault="003A03D9" w:rsidP="003A03D9">
      <w:pPr>
        <w:pStyle w:val="NormalWeb"/>
        <w:jc w:val="both"/>
      </w:pPr>
      <w:r>
        <w:rPr>
          <w:rStyle w:val="head1"/>
          <w:b/>
          <w:bCs/>
        </w:rPr>
        <w:t>Debit Card</w:t>
      </w:r>
      <w:r>
        <w:t xml:space="preserve"> is a physical or virtual payment instrument containing a means of identification, linked to a Saving Bank/Current Account which can be used to withdraw cash, make online payments, do </w:t>
      </w:r>
      <w:proofErr w:type="spellStart"/>
      <w:r>
        <w:t>PoS</w:t>
      </w:r>
      <w:proofErr w:type="spellEnd"/>
      <w:r>
        <w:t xml:space="preserve"> terminal/Quick Response (QR) code transactions, fund transfer, etc. subject to prescribed terms and conditions.</w:t>
      </w:r>
    </w:p>
    <w:p w:rsidR="003A03D9" w:rsidRDefault="003A03D9" w:rsidP="003A03D9">
      <w:pPr>
        <w:pStyle w:val="head"/>
        <w:jc w:val="both"/>
        <w:rPr>
          <w:b/>
          <w:bCs/>
        </w:rPr>
      </w:pPr>
      <w:r>
        <w:rPr>
          <w:b/>
          <w:bCs/>
        </w:rPr>
        <w:t>Issue of Debit Card</w:t>
      </w:r>
    </w:p>
    <w:p w:rsidR="003A03D9" w:rsidRPr="004B0D64" w:rsidRDefault="003A03D9" w:rsidP="003A03D9">
      <w:pPr>
        <w:pStyle w:val="ListParagraph"/>
        <w:numPr>
          <w:ilvl w:val="0"/>
          <w:numId w:val="1"/>
        </w:numPr>
        <w:suppressAutoHyphens w:val="0"/>
        <w:spacing w:line="240" w:lineRule="auto"/>
        <w:jc w:val="both"/>
      </w:pPr>
      <w:r>
        <w:rPr>
          <w:rFonts w:ascii="Times New Roman" w:hAnsi="Times New Roman"/>
          <w:sz w:val="24"/>
          <w:szCs w:val="24"/>
        </w:rPr>
        <w:t>ATM/Debit Card shall be issued by the Bank solely at its discretion to account holders provided he / she satisfies the applicable eligibility norms and / or maintains prescribed minimum balance in his / her account. The Bank in its sole discretion may refuse issuance or renewal of the Card and or impose conditions without assigning any reason.</w:t>
      </w:r>
    </w:p>
    <w:p w:rsidR="004B0D64" w:rsidRDefault="004B0D64" w:rsidP="004B0D64">
      <w:pPr>
        <w:pStyle w:val="ListParagraph"/>
        <w:numPr>
          <w:ilvl w:val="0"/>
          <w:numId w:val="1"/>
        </w:numPr>
        <w:spacing w:line="240" w:lineRule="auto"/>
        <w:jc w:val="both"/>
      </w:pPr>
      <w:r>
        <w:rPr>
          <w:rFonts w:ascii="Times New Roman" w:hAnsi="Times New Roman"/>
          <w:sz w:val="24"/>
          <w:szCs w:val="24"/>
        </w:rPr>
        <w:t xml:space="preserve">The Bank may issue debit cards to customers having </w:t>
      </w:r>
      <w:proofErr w:type="gramStart"/>
      <w:r>
        <w:rPr>
          <w:rFonts w:ascii="Times New Roman" w:hAnsi="Times New Roman"/>
          <w:sz w:val="24"/>
          <w:szCs w:val="24"/>
        </w:rPr>
        <w:t>Saving</w:t>
      </w:r>
      <w:proofErr w:type="gramEnd"/>
      <w:r>
        <w:rPr>
          <w:rFonts w:ascii="Times New Roman" w:hAnsi="Times New Roman"/>
          <w:sz w:val="24"/>
          <w:szCs w:val="24"/>
        </w:rPr>
        <w:t xml:space="preserve"> / Current accounts (in individual capacity) / Partnership firms / Companies &amp; HUF (Hindu Undivided family) subject to compliance of certain terms &amp; conditions as per Annexure enclosed with the policy document.</w:t>
      </w:r>
    </w:p>
    <w:p w:rsidR="003A03D9" w:rsidRDefault="003A03D9" w:rsidP="003A03D9">
      <w:pPr>
        <w:pStyle w:val="ListParagraph"/>
        <w:numPr>
          <w:ilvl w:val="0"/>
          <w:numId w:val="1"/>
        </w:numPr>
        <w:suppressAutoHyphens w:val="0"/>
        <w:spacing w:line="240" w:lineRule="auto"/>
        <w:jc w:val="both"/>
      </w:pPr>
      <w:r>
        <w:rPr>
          <w:rFonts w:ascii="Times New Roman" w:hAnsi="Times New Roman"/>
          <w:sz w:val="24"/>
          <w:szCs w:val="24"/>
        </w:rPr>
        <w:t>ATM</w:t>
      </w:r>
      <w:r>
        <w:rPr>
          <w:rFonts w:ascii="Times New Roman" w:hAnsi="Times New Roman"/>
          <w:b/>
          <w:sz w:val="24"/>
          <w:szCs w:val="24"/>
        </w:rPr>
        <w:t>/</w:t>
      </w:r>
      <w:r>
        <w:rPr>
          <w:rFonts w:ascii="Times New Roman" w:hAnsi="Times New Roman"/>
          <w:sz w:val="24"/>
          <w:szCs w:val="24"/>
        </w:rPr>
        <w:t xml:space="preserve"> Debit Card is and shall remain the property of the </w:t>
      </w:r>
      <w:proofErr w:type="spellStart"/>
      <w:r>
        <w:rPr>
          <w:rFonts w:ascii="Times New Roman" w:hAnsi="Times New Roman"/>
          <w:sz w:val="24"/>
          <w:szCs w:val="24"/>
        </w:rPr>
        <w:t>Indraprastha</w:t>
      </w:r>
      <w:proofErr w:type="spellEnd"/>
      <w:r>
        <w:rPr>
          <w:rFonts w:ascii="Times New Roman" w:hAnsi="Times New Roman"/>
          <w:sz w:val="24"/>
          <w:szCs w:val="24"/>
        </w:rPr>
        <w:t xml:space="preserve"> </w:t>
      </w:r>
      <w:proofErr w:type="spellStart"/>
      <w:r>
        <w:rPr>
          <w:rFonts w:ascii="Times New Roman" w:hAnsi="Times New Roman"/>
          <w:sz w:val="24"/>
          <w:szCs w:val="24"/>
        </w:rPr>
        <w:t>Sehkari</w:t>
      </w:r>
      <w:proofErr w:type="spellEnd"/>
      <w:r>
        <w:rPr>
          <w:rFonts w:ascii="Times New Roman" w:hAnsi="Times New Roman"/>
          <w:sz w:val="24"/>
          <w:szCs w:val="24"/>
        </w:rPr>
        <w:t xml:space="preserve"> Bank Ltd. at all times and will be returned by the Cardholder unconditionally and immediately upon Bank’s request. The Bank reserves the right to withdraw / cancel </w:t>
      </w:r>
      <w:proofErr w:type="gramStart"/>
      <w:r>
        <w:rPr>
          <w:rFonts w:ascii="Times New Roman" w:hAnsi="Times New Roman"/>
          <w:sz w:val="24"/>
          <w:szCs w:val="24"/>
        </w:rPr>
        <w:t>the  ATM</w:t>
      </w:r>
      <w:proofErr w:type="gramEnd"/>
      <w:r>
        <w:rPr>
          <w:rFonts w:ascii="Times New Roman" w:hAnsi="Times New Roman"/>
          <w:sz w:val="24"/>
          <w:szCs w:val="24"/>
        </w:rPr>
        <w:t xml:space="preserve">/Debit Card or any of the services thereby offered at any time without prior notice. </w:t>
      </w:r>
    </w:p>
    <w:p w:rsidR="003A03D9" w:rsidRDefault="003A03D9" w:rsidP="003A03D9">
      <w:pPr>
        <w:pStyle w:val="ListParagraph"/>
        <w:numPr>
          <w:ilvl w:val="0"/>
          <w:numId w:val="1"/>
        </w:numPr>
        <w:suppressAutoHyphens w:val="0"/>
        <w:spacing w:line="240" w:lineRule="auto"/>
        <w:jc w:val="both"/>
      </w:pPr>
      <w:r>
        <w:rPr>
          <w:rFonts w:ascii="Times New Roman" w:hAnsi="Times New Roman"/>
          <w:sz w:val="24"/>
          <w:szCs w:val="24"/>
        </w:rPr>
        <w:t xml:space="preserve">ATM/ Debit Card shall be used only by the Cardholder and is not transferable or assignable. </w:t>
      </w:r>
    </w:p>
    <w:p w:rsidR="003A03D9" w:rsidRDefault="003A03D9" w:rsidP="003A03D9">
      <w:pPr>
        <w:pStyle w:val="NormalWeb"/>
        <w:numPr>
          <w:ilvl w:val="0"/>
          <w:numId w:val="1"/>
        </w:numPr>
        <w:jc w:val="both"/>
      </w:pPr>
      <w:r>
        <w:t>ATM/Debit cards shall only be issued to customers having Savings Bank/Current Accounts.</w:t>
      </w:r>
    </w:p>
    <w:p w:rsidR="003A03D9" w:rsidRDefault="003A03D9" w:rsidP="003A03D9">
      <w:pPr>
        <w:pStyle w:val="NormalWeb"/>
        <w:numPr>
          <w:ilvl w:val="0"/>
          <w:numId w:val="1"/>
        </w:numPr>
        <w:jc w:val="both"/>
      </w:pPr>
      <w:r>
        <w:t xml:space="preserve">The Bank shall not issue debit cards to cash credit/loan account holders. </w:t>
      </w:r>
    </w:p>
    <w:p w:rsidR="003A03D9" w:rsidRDefault="003A03D9" w:rsidP="003A03D9">
      <w:pPr>
        <w:pStyle w:val="NormalWeb"/>
        <w:numPr>
          <w:ilvl w:val="0"/>
          <w:numId w:val="1"/>
        </w:numPr>
        <w:jc w:val="both"/>
      </w:pPr>
      <w:r>
        <w:t xml:space="preserve">Banks shall not force a customer to avail debit card facility and shall not link issuance of debit card to </w:t>
      </w:r>
      <w:proofErr w:type="spellStart"/>
      <w:r>
        <w:t>availment</w:t>
      </w:r>
      <w:proofErr w:type="spellEnd"/>
      <w:r>
        <w:t xml:space="preserve"> of any other facility from the bank.</w:t>
      </w:r>
    </w:p>
    <w:p w:rsidR="003A03D9" w:rsidRPr="004B0D64" w:rsidRDefault="003A03D9" w:rsidP="003A03D9">
      <w:pPr>
        <w:pStyle w:val="ListParagraph"/>
        <w:numPr>
          <w:ilvl w:val="0"/>
          <w:numId w:val="1"/>
        </w:numPr>
        <w:suppressAutoHyphens w:val="0"/>
        <w:spacing w:line="240" w:lineRule="auto"/>
        <w:jc w:val="both"/>
        <w:rPr>
          <w:rFonts w:ascii="Times New Roman" w:hAnsi="Times New Roman"/>
          <w:sz w:val="23"/>
          <w:szCs w:val="23"/>
        </w:rPr>
      </w:pPr>
      <w:r w:rsidRPr="004B0D64">
        <w:rPr>
          <w:rFonts w:ascii="Times New Roman" w:hAnsi="Times New Roman"/>
          <w:sz w:val="23"/>
          <w:szCs w:val="23"/>
        </w:rPr>
        <w:t xml:space="preserve">The Bank will not be liable for any failure to provide any service or to perform any obligation hereunder where such failure is attributable (directly or indirectly) to any malfunction of the machine or the Card, failure of communication lines or any other circumstances beyond the control of the Bank. The Bank will not be liable for any dispute, consequential or indirect loss or damage, arising from or related to the use of the ATM/Debit Card. </w:t>
      </w:r>
    </w:p>
    <w:p w:rsidR="003A03D9" w:rsidRDefault="003A03D9" w:rsidP="003A03D9">
      <w:pPr>
        <w:suppressAutoHyphens w:val="0"/>
        <w:spacing w:line="240" w:lineRule="auto"/>
        <w:jc w:val="both"/>
      </w:pPr>
      <w:r>
        <w:rPr>
          <w:rFonts w:ascii="Times New Roman" w:hAnsi="Times New Roman"/>
          <w:b/>
          <w:sz w:val="24"/>
          <w:szCs w:val="24"/>
        </w:rPr>
        <w:t xml:space="preserve"> Card holders’ covenants:</w:t>
      </w:r>
    </w:p>
    <w:p w:rsidR="004B0D64" w:rsidRPr="004B0D64" w:rsidRDefault="003A03D9" w:rsidP="003A03D9">
      <w:pPr>
        <w:pStyle w:val="ListParagraph"/>
        <w:numPr>
          <w:ilvl w:val="0"/>
          <w:numId w:val="2"/>
        </w:numPr>
        <w:suppressAutoHyphens w:val="0"/>
        <w:spacing w:line="240" w:lineRule="auto"/>
        <w:jc w:val="both"/>
      </w:pPr>
      <w:r w:rsidRPr="004B0D64">
        <w:rPr>
          <w:rFonts w:ascii="Times New Roman" w:hAnsi="Times New Roman"/>
          <w:sz w:val="24"/>
          <w:szCs w:val="24"/>
        </w:rPr>
        <w:t xml:space="preserve">The Cardholder shall take all necessary precautions to ensure the safety of the Card.  The Bank shall not assume any liability whatsoever for any claim </w:t>
      </w:r>
      <w:proofErr w:type="spellStart"/>
      <w:r w:rsidRPr="004B0D64">
        <w:rPr>
          <w:rFonts w:ascii="Times New Roman" w:hAnsi="Times New Roman"/>
          <w:sz w:val="24"/>
          <w:szCs w:val="24"/>
        </w:rPr>
        <w:t>or</w:t>
      </w:r>
      <w:proofErr w:type="spellEnd"/>
      <w:r w:rsidRPr="004B0D64">
        <w:rPr>
          <w:rFonts w:ascii="Times New Roman" w:hAnsi="Times New Roman"/>
          <w:sz w:val="24"/>
          <w:szCs w:val="24"/>
        </w:rPr>
        <w:t xml:space="preserve"> damages arising from non-adherence of conditions governing the cards.</w:t>
      </w:r>
    </w:p>
    <w:p w:rsidR="003A03D9" w:rsidRPr="0061004F" w:rsidRDefault="003A03D9" w:rsidP="003A03D9">
      <w:pPr>
        <w:pStyle w:val="ListParagraph"/>
        <w:numPr>
          <w:ilvl w:val="0"/>
          <w:numId w:val="2"/>
        </w:numPr>
        <w:suppressAutoHyphens w:val="0"/>
        <w:spacing w:line="240" w:lineRule="auto"/>
        <w:jc w:val="both"/>
      </w:pPr>
      <w:r w:rsidRPr="004B0D64">
        <w:rPr>
          <w:rFonts w:ascii="Times New Roman" w:hAnsi="Times New Roman"/>
          <w:sz w:val="24"/>
          <w:szCs w:val="24"/>
        </w:rPr>
        <w:t xml:space="preserve">The Cardholder shall not inform / disclose to any person the PIN given by the Bank for access to ATM and the PIN used by him / her for transacting through ATM at any time and under any circumstances voluntarily or otherwise. </w:t>
      </w:r>
    </w:p>
    <w:tbl>
      <w:tblPr>
        <w:tblW w:w="10141" w:type="dxa"/>
        <w:tblInd w:w="-252" w:type="dxa"/>
        <w:tblCellMar>
          <w:left w:w="10" w:type="dxa"/>
          <w:right w:w="10" w:type="dxa"/>
        </w:tblCellMar>
        <w:tblLook w:val="0000" w:firstRow="0" w:lastRow="0" w:firstColumn="0" w:lastColumn="0" w:noHBand="0" w:noVBand="0"/>
      </w:tblPr>
      <w:tblGrid>
        <w:gridCol w:w="1449"/>
        <w:gridCol w:w="8692"/>
      </w:tblGrid>
      <w:tr w:rsidR="0061004F" w:rsidTr="00415876">
        <w:trPr>
          <w:trHeight w:val="876"/>
        </w:trPr>
        <w:tc>
          <w:tcPr>
            <w:tcW w:w="1449" w:type="dxa"/>
            <w:shd w:val="clear" w:color="auto" w:fill="auto"/>
            <w:tcMar>
              <w:top w:w="0" w:type="dxa"/>
              <w:left w:w="108" w:type="dxa"/>
              <w:bottom w:w="0" w:type="dxa"/>
              <w:right w:w="108" w:type="dxa"/>
            </w:tcMar>
          </w:tcPr>
          <w:p w:rsidR="0061004F" w:rsidRDefault="0061004F" w:rsidP="00415876">
            <w:pPr>
              <w:ind w:right="-98"/>
              <w:jc w:val="both"/>
            </w:pPr>
            <w:r>
              <w:rPr>
                <w:rFonts w:ascii="Book Antiqua" w:hAnsi="Book Antiqua"/>
                <w:b/>
                <w:noProof/>
                <w:sz w:val="28"/>
                <w:lang w:eastAsia="en-GB" w:bidi="hi-IN"/>
              </w:rPr>
              <w:lastRenderedPageBreak/>
              <w:drawing>
                <wp:inline distT="0" distB="0" distL="0" distR="0" wp14:anchorId="6065B5BE" wp14:editId="38FA2F70">
                  <wp:extent cx="581028" cy="581028"/>
                  <wp:effectExtent l="0" t="0" r="9522" b="9522"/>
                  <wp:docPr id="2" name="Picture 4" descr="C:\Users\hr\Desktop\LOGO\Bank_Logo.jp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rcRect/>
                          <a:stretch>
                            <a:fillRect/>
                          </a:stretch>
                        </pic:blipFill>
                        <pic:spPr>
                          <a:xfrm>
                            <a:off x="0" y="0"/>
                            <a:ext cx="581028" cy="581028"/>
                          </a:xfrm>
                          <a:prstGeom prst="rect">
                            <a:avLst/>
                          </a:prstGeom>
                          <a:noFill/>
                          <a:ln>
                            <a:noFill/>
                            <a:prstDash/>
                          </a:ln>
                        </pic:spPr>
                      </pic:pic>
                    </a:graphicData>
                  </a:graphic>
                </wp:inline>
              </w:drawing>
            </w:r>
          </w:p>
        </w:tc>
        <w:tc>
          <w:tcPr>
            <w:tcW w:w="8692" w:type="dxa"/>
            <w:shd w:val="clear" w:color="auto" w:fill="auto"/>
            <w:tcMar>
              <w:top w:w="0" w:type="dxa"/>
              <w:left w:w="108" w:type="dxa"/>
              <w:bottom w:w="0" w:type="dxa"/>
              <w:right w:w="108" w:type="dxa"/>
            </w:tcMar>
          </w:tcPr>
          <w:p w:rsidR="0061004F" w:rsidRDefault="0061004F" w:rsidP="00415876">
            <w:pPr>
              <w:ind w:right="252"/>
              <w:jc w:val="both"/>
              <w:rPr>
                <w:rFonts w:ascii="Book Antiqua" w:hAnsi="Book Antiqua"/>
                <w:b/>
              </w:rPr>
            </w:pPr>
          </w:p>
          <w:p w:rsidR="0061004F" w:rsidRDefault="0061004F" w:rsidP="00415876">
            <w:pPr>
              <w:ind w:right="252"/>
              <w:jc w:val="both"/>
              <w:rPr>
                <w:rFonts w:ascii="Book Antiqua" w:hAnsi="Book Antiqua"/>
                <w:b/>
              </w:rPr>
            </w:pPr>
            <w:r>
              <w:rPr>
                <w:rFonts w:ascii="Book Antiqua" w:hAnsi="Book Antiqua"/>
                <w:b/>
              </w:rPr>
              <w:t>INDRAPRASTHA SEHKARI BANK LTD.</w:t>
            </w:r>
          </w:p>
        </w:tc>
      </w:tr>
    </w:tbl>
    <w:p w:rsidR="003A03D9" w:rsidRDefault="003A03D9" w:rsidP="003A03D9">
      <w:pPr>
        <w:pStyle w:val="ListParagraph"/>
        <w:numPr>
          <w:ilvl w:val="0"/>
          <w:numId w:val="2"/>
        </w:numPr>
        <w:suppressAutoHyphens w:val="0"/>
        <w:spacing w:line="240" w:lineRule="auto"/>
        <w:jc w:val="both"/>
        <w:rPr>
          <w:rFonts w:ascii="Times New Roman" w:hAnsi="Times New Roman"/>
          <w:sz w:val="24"/>
          <w:szCs w:val="24"/>
        </w:rPr>
      </w:pPr>
      <w:r>
        <w:rPr>
          <w:rFonts w:ascii="Times New Roman" w:hAnsi="Times New Roman"/>
          <w:sz w:val="24"/>
          <w:szCs w:val="24"/>
        </w:rPr>
        <w:t xml:space="preserve">PIN is for the personal use, strictly confidential and not transferable. The Cardholder shall not keep any written record of his / her PIN in any place or manner, which may enable a third party to use the ATM/Debit Card. </w:t>
      </w:r>
    </w:p>
    <w:p w:rsidR="003A03D9" w:rsidRDefault="003A03D9" w:rsidP="003A03D9">
      <w:pPr>
        <w:pStyle w:val="ListParagraph"/>
        <w:numPr>
          <w:ilvl w:val="0"/>
          <w:numId w:val="2"/>
        </w:numPr>
        <w:suppressAutoHyphens w:val="0"/>
        <w:spacing w:line="240" w:lineRule="auto"/>
        <w:jc w:val="both"/>
        <w:rPr>
          <w:rFonts w:ascii="Times New Roman" w:hAnsi="Times New Roman"/>
          <w:sz w:val="24"/>
          <w:szCs w:val="24"/>
        </w:rPr>
      </w:pPr>
      <w:r>
        <w:rPr>
          <w:rFonts w:ascii="Times New Roman" w:hAnsi="Times New Roman"/>
          <w:sz w:val="24"/>
          <w:szCs w:val="24"/>
        </w:rPr>
        <w:t xml:space="preserve">The Cardholder will be solely responsible for all transactions effected by the use of ATM/Debit Card whether authorised by the Cardholder or not and shall indemnify the Bank for all loss or damage caused by any unauthorised use of ATM/Debit Card or related PIN of the Cardholder, </w:t>
      </w:r>
    </w:p>
    <w:p w:rsidR="003A03D9" w:rsidRDefault="003A03D9" w:rsidP="003A03D9">
      <w:pPr>
        <w:pStyle w:val="ListParagraph"/>
        <w:numPr>
          <w:ilvl w:val="0"/>
          <w:numId w:val="2"/>
        </w:numPr>
        <w:suppressAutoHyphens w:val="0"/>
        <w:spacing w:line="240" w:lineRule="auto"/>
        <w:jc w:val="both"/>
      </w:pPr>
      <w:r>
        <w:rPr>
          <w:rFonts w:ascii="Times New Roman" w:hAnsi="Times New Roman"/>
          <w:sz w:val="24"/>
          <w:szCs w:val="24"/>
        </w:rPr>
        <w:t>The Card holder shall immediately report to the Bank by the quickest mode of communication and confirm in writing as soon as possible if his/her ATM/Debit Card is lost or stolen.  Similarly any instruction to stop operation of ATM/Debit Card facility shall be in writing. Till such notification is received and acted upon by the Bank, the Cardholder will be responsible for all transactions effected by the use of card.</w:t>
      </w:r>
    </w:p>
    <w:p w:rsidR="003A03D9" w:rsidRDefault="003A03D9" w:rsidP="003A03D9">
      <w:pPr>
        <w:pStyle w:val="ListParagraph"/>
        <w:numPr>
          <w:ilvl w:val="0"/>
          <w:numId w:val="2"/>
        </w:numPr>
        <w:suppressAutoHyphens w:val="0"/>
        <w:spacing w:line="240" w:lineRule="auto"/>
        <w:jc w:val="both"/>
      </w:pPr>
      <w:r>
        <w:rPr>
          <w:rFonts w:ascii="Times New Roman" w:hAnsi="Times New Roman"/>
          <w:sz w:val="24"/>
          <w:szCs w:val="24"/>
        </w:rPr>
        <w:t xml:space="preserve"> If within the validity period of the Card, which is reported lost, if the Cardholder subsequently is able to trace/find the Card, the Cardholder shall inform the Bank and may submit a request for activation. In such case, the Bank in its discretion may activate the Card provided that no Card in lieu of lost Card was issued.</w:t>
      </w:r>
    </w:p>
    <w:p w:rsidR="003A03D9" w:rsidRDefault="003A03D9" w:rsidP="003A03D9">
      <w:pPr>
        <w:pStyle w:val="ListParagraph"/>
        <w:numPr>
          <w:ilvl w:val="0"/>
          <w:numId w:val="2"/>
        </w:numPr>
        <w:suppressAutoHyphens w:val="0"/>
        <w:spacing w:line="240" w:lineRule="auto"/>
        <w:jc w:val="both"/>
      </w:pPr>
      <w:r>
        <w:rPr>
          <w:rFonts w:ascii="Times New Roman" w:hAnsi="Times New Roman"/>
          <w:sz w:val="24"/>
          <w:szCs w:val="24"/>
        </w:rPr>
        <w:t xml:space="preserve">The card holder shall surrender his/her ATM/Debit card at the time of closure of SB, Current account.  Closure, transfer or any change in mode of operation of the designated account(s) will not be allowed unless the Card is surrendered. </w:t>
      </w:r>
    </w:p>
    <w:p w:rsidR="003A03D9" w:rsidRDefault="003A03D9" w:rsidP="003A03D9">
      <w:pPr>
        <w:pStyle w:val="ListParagraph"/>
        <w:numPr>
          <w:ilvl w:val="0"/>
          <w:numId w:val="3"/>
        </w:numPr>
        <w:suppressAutoHyphens w:val="0"/>
        <w:spacing w:line="240" w:lineRule="auto"/>
        <w:jc w:val="both"/>
      </w:pPr>
      <w:r>
        <w:rPr>
          <w:rFonts w:ascii="Times New Roman" w:hAnsi="Times New Roman"/>
          <w:sz w:val="24"/>
          <w:szCs w:val="24"/>
        </w:rPr>
        <w:t>The Cardholder shall get his passbook updated at least once in a month. The Cardholder shall inform the Bank in writing within seven (7) days from the statement date or from the date of completion of his passbook of any irregularities or discrepancies that exist in the transaction details at an ATM / Merchant establishment / Internet. If no such notice is received during this time, the Bank will assume the correctness of both the transaction and the statement of account / passbook and the Bank will not be liable for claims / representations made by the cardholder subsequently.</w:t>
      </w:r>
    </w:p>
    <w:p w:rsidR="003A03D9" w:rsidRDefault="003A03D9" w:rsidP="003A03D9">
      <w:pPr>
        <w:pStyle w:val="ListParagraph"/>
        <w:numPr>
          <w:ilvl w:val="0"/>
          <w:numId w:val="3"/>
        </w:numPr>
        <w:suppressAutoHyphens w:val="0"/>
        <w:spacing w:line="240" w:lineRule="auto"/>
        <w:jc w:val="both"/>
      </w:pPr>
      <w:r>
        <w:rPr>
          <w:rFonts w:ascii="Times New Roman" w:hAnsi="Times New Roman"/>
          <w:sz w:val="24"/>
          <w:szCs w:val="24"/>
        </w:rPr>
        <w:t xml:space="preserve">The Cardholder will be liable for all the costs associated with the collection of dues, legal expenses or where legal resources have been utilized in the resolution of a dispute. </w:t>
      </w:r>
    </w:p>
    <w:p w:rsidR="003A03D9" w:rsidRDefault="003A03D9" w:rsidP="003A03D9">
      <w:pPr>
        <w:pStyle w:val="ListParagraph"/>
        <w:numPr>
          <w:ilvl w:val="0"/>
          <w:numId w:val="4"/>
        </w:numPr>
        <w:suppressAutoHyphens w:val="0"/>
        <w:spacing w:line="240" w:lineRule="auto"/>
        <w:jc w:val="both"/>
        <w:rPr>
          <w:rFonts w:ascii="Times New Roman" w:hAnsi="Times New Roman"/>
          <w:sz w:val="24"/>
          <w:szCs w:val="24"/>
        </w:rPr>
      </w:pPr>
      <w:r>
        <w:rPr>
          <w:rFonts w:ascii="Times New Roman" w:hAnsi="Times New Roman"/>
          <w:sz w:val="24"/>
          <w:szCs w:val="24"/>
        </w:rPr>
        <w:t>The Cardholder will also remain bound by the terms and conditions of operation of his / her Savings Bank Account / Current Accounts / other accounts with the Bank and the changes made thereto from time to time. Cardholder is also bound by the Rules and Regulations of the Bank as amended from time to time</w:t>
      </w:r>
    </w:p>
    <w:p w:rsidR="003A03D9" w:rsidRDefault="003A03D9" w:rsidP="003A03D9">
      <w:pPr>
        <w:suppressAutoHyphens w:val="0"/>
        <w:spacing w:line="240" w:lineRule="auto"/>
        <w:jc w:val="both"/>
        <w:rPr>
          <w:rFonts w:ascii="Times New Roman" w:hAnsi="Times New Roman"/>
          <w:b/>
          <w:sz w:val="24"/>
          <w:szCs w:val="24"/>
        </w:rPr>
      </w:pPr>
      <w:r>
        <w:rPr>
          <w:rFonts w:ascii="Times New Roman" w:hAnsi="Times New Roman"/>
          <w:b/>
          <w:sz w:val="24"/>
          <w:szCs w:val="24"/>
        </w:rPr>
        <w:t>Bank’s obligations:</w:t>
      </w:r>
    </w:p>
    <w:p w:rsidR="003A03D9" w:rsidRDefault="003A03D9" w:rsidP="003A03D9">
      <w:pPr>
        <w:pStyle w:val="NormalWeb"/>
        <w:numPr>
          <w:ilvl w:val="0"/>
          <w:numId w:val="5"/>
        </w:numPr>
        <w:jc w:val="both"/>
      </w:pPr>
      <w:r>
        <w:t>Keep internal records to enable operations to be traced and errors to be rectified (taking into account the law of limitation for the time barred cases) as prescribed under ‘</w:t>
      </w:r>
      <w:hyperlink r:id="rId9" w:history="1">
        <w:r>
          <w:rPr>
            <w:rStyle w:val="Hyperlink"/>
          </w:rPr>
          <w:t>Master Direction on Know Your Customer</w:t>
        </w:r>
      </w:hyperlink>
      <w:r>
        <w:t>’, as amended from time to time.</w:t>
      </w:r>
    </w:p>
    <w:p w:rsidR="003A03D9" w:rsidRDefault="003A03D9" w:rsidP="003A03D9">
      <w:pPr>
        <w:pStyle w:val="NormalWeb"/>
        <w:numPr>
          <w:ilvl w:val="0"/>
          <w:numId w:val="5"/>
        </w:numPr>
        <w:jc w:val="both"/>
      </w:pPr>
      <w:r>
        <w:t>Strictly adhere to the Instructions/Directions on KYC/AML/CFT issued by RBI from time to time, in respect of ATM/Debit cards issued.</w:t>
      </w:r>
    </w:p>
    <w:p w:rsidR="003A03D9" w:rsidRDefault="003A03D9" w:rsidP="003A03D9">
      <w:pPr>
        <w:pStyle w:val="NormalWeb"/>
        <w:numPr>
          <w:ilvl w:val="0"/>
          <w:numId w:val="5"/>
        </w:numPr>
        <w:jc w:val="both"/>
      </w:pPr>
      <w:r>
        <w:t>Provide card-holder with a record of the transactions after he/she has completed it, immediately in the form email/SMS.</w:t>
      </w:r>
    </w:p>
    <w:p w:rsidR="00CE00F0" w:rsidRDefault="00CE00F0" w:rsidP="00CE00F0">
      <w:pPr>
        <w:pStyle w:val="NormalWeb"/>
        <w:numPr>
          <w:ilvl w:val="0"/>
          <w:numId w:val="5"/>
        </w:numPr>
        <w:jc w:val="both"/>
      </w:pPr>
      <w:r>
        <w:t>With a view to reducing the instances of misuse of lost/stolen cards, the Bank may consider issuing card with advanced features that may evolve from time to time.</w:t>
      </w:r>
    </w:p>
    <w:tbl>
      <w:tblPr>
        <w:tblW w:w="10141" w:type="dxa"/>
        <w:tblInd w:w="-252" w:type="dxa"/>
        <w:tblCellMar>
          <w:left w:w="10" w:type="dxa"/>
          <w:right w:w="10" w:type="dxa"/>
        </w:tblCellMar>
        <w:tblLook w:val="0000" w:firstRow="0" w:lastRow="0" w:firstColumn="0" w:lastColumn="0" w:noHBand="0" w:noVBand="0"/>
      </w:tblPr>
      <w:tblGrid>
        <w:gridCol w:w="1449"/>
        <w:gridCol w:w="8692"/>
      </w:tblGrid>
      <w:tr w:rsidR="00CE00F0" w:rsidTr="00415876">
        <w:trPr>
          <w:trHeight w:val="876"/>
        </w:trPr>
        <w:tc>
          <w:tcPr>
            <w:tcW w:w="1449" w:type="dxa"/>
            <w:shd w:val="clear" w:color="auto" w:fill="auto"/>
            <w:tcMar>
              <w:top w:w="0" w:type="dxa"/>
              <w:left w:w="108" w:type="dxa"/>
              <w:bottom w:w="0" w:type="dxa"/>
              <w:right w:w="108" w:type="dxa"/>
            </w:tcMar>
          </w:tcPr>
          <w:p w:rsidR="00CE00F0" w:rsidRDefault="00CE00F0" w:rsidP="00415876">
            <w:pPr>
              <w:ind w:right="-98"/>
              <w:jc w:val="both"/>
            </w:pPr>
            <w:r>
              <w:rPr>
                <w:rFonts w:ascii="Book Antiqua" w:hAnsi="Book Antiqua"/>
                <w:b/>
                <w:noProof/>
                <w:sz w:val="28"/>
                <w:lang w:eastAsia="en-GB" w:bidi="hi-IN"/>
              </w:rPr>
              <w:lastRenderedPageBreak/>
              <w:drawing>
                <wp:inline distT="0" distB="0" distL="0" distR="0" wp14:anchorId="7DCD244F" wp14:editId="41F6F804">
                  <wp:extent cx="581028" cy="581028"/>
                  <wp:effectExtent l="0" t="0" r="9522" b="9522"/>
                  <wp:docPr id="3" name="Picture 4" descr="C:\Users\hr\Desktop\LOGO\Bank_Logo.jp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rcRect/>
                          <a:stretch>
                            <a:fillRect/>
                          </a:stretch>
                        </pic:blipFill>
                        <pic:spPr>
                          <a:xfrm>
                            <a:off x="0" y="0"/>
                            <a:ext cx="581028" cy="581028"/>
                          </a:xfrm>
                          <a:prstGeom prst="rect">
                            <a:avLst/>
                          </a:prstGeom>
                          <a:noFill/>
                          <a:ln>
                            <a:noFill/>
                            <a:prstDash/>
                          </a:ln>
                        </pic:spPr>
                      </pic:pic>
                    </a:graphicData>
                  </a:graphic>
                </wp:inline>
              </w:drawing>
            </w:r>
          </w:p>
        </w:tc>
        <w:tc>
          <w:tcPr>
            <w:tcW w:w="8692" w:type="dxa"/>
            <w:shd w:val="clear" w:color="auto" w:fill="auto"/>
            <w:tcMar>
              <w:top w:w="0" w:type="dxa"/>
              <w:left w:w="108" w:type="dxa"/>
              <w:bottom w:w="0" w:type="dxa"/>
              <w:right w:w="108" w:type="dxa"/>
            </w:tcMar>
          </w:tcPr>
          <w:p w:rsidR="00CE00F0" w:rsidRDefault="00CE00F0" w:rsidP="00415876">
            <w:pPr>
              <w:ind w:right="252"/>
              <w:jc w:val="both"/>
              <w:rPr>
                <w:rFonts w:ascii="Book Antiqua" w:hAnsi="Book Antiqua"/>
                <w:b/>
              </w:rPr>
            </w:pPr>
          </w:p>
          <w:p w:rsidR="00CE00F0" w:rsidRDefault="00CE00F0" w:rsidP="00415876">
            <w:pPr>
              <w:ind w:right="252"/>
              <w:jc w:val="both"/>
              <w:rPr>
                <w:rFonts w:ascii="Book Antiqua" w:hAnsi="Book Antiqua"/>
                <w:b/>
              </w:rPr>
            </w:pPr>
            <w:r>
              <w:rPr>
                <w:rFonts w:ascii="Book Antiqua" w:hAnsi="Book Antiqua"/>
                <w:b/>
              </w:rPr>
              <w:t>INDRAPRASTHA SEHKARI BANK LTD.</w:t>
            </w:r>
          </w:p>
        </w:tc>
      </w:tr>
    </w:tbl>
    <w:p w:rsidR="003A03D9" w:rsidRDefault="003A03D9" w:rsidP="003A03D9">
      <w:pPr>
        <w:pStyle w:val="NormalWeb"/>
        <w:numPr>
          <w:ilvl w:val="0"/>
          <w:numId w:val="5"/>
        </w:numPr>
        <w:jc w:val="both"/>
      </w:pPr>
      <w:r>
        <w:t>The Bank shall block a lost card immediately on being informed by the cardholder and formalities, if any, can follow within a reasonable period clearly defined in the Board approved Customer Protection Policy.</w:t>
      </w:r>
    </w:p>
    <w:p w:rsidR="003A03D9" w:rsidRDefault="003A03D9" w:rsidP="003A03D9">
      <w:pPr>
        <w:pStyle w:val="NormalWeb"/>
        <w:numPr>
          <w:ilvl w:val="0"/>
          <w:numId w:val="5"/>
        </w:numPr>
        <w:jc w:val="both"/>
      </w:pPr>
      <w:r>
        <w:t xml:space="preserve">Provide to the cardholder the detailed procedure to report the loss, theft or unauthorised use of card or PIN. Also provide multiple channels such as a dedicated helpline, dedicated number for SMS, dedicated e-mail-id, link on web-site, internet banking and mobile-app on 24 x 7 </w:t>
      </w:r>
      <w:proofErr w:type="gramStart"/>
      <w:r>
        <w:t>basis</w:t>
      </w:r>
      <w:proofErr w:type="gramEnd"/>
      <w:r>
        <w:t xml:space="preserve"> and allow the customer to initiate the blocking of the card. </w:t>
      </w:r>
    </w:p>
    <w:p w:rsidR="003A03D9" w:rsidRDefault="003A03D9" w:rsidP="003A03D9">
      <w:pPr>
        <w:pStyle w:val="NormalWeb"/>
        <w:numPr>
          <w:ilvl w:val="0"/>
          <w:numId w:val="5"/>
        </w:numPr>
        <w:jc w:val="both"/>
      </w:pPr>
      <w:r>
        <w:t>The Bank shall immediately send a confirmation to the cardholder subsequent to the blocking of a card.</w:t>
      </w:r>
    </w:p>
    <w:p w:rsidR="003A03D9" w:rsidRDefault="003A03D9" w:rsidP="003A03D9">
      <w:pPr>
        <w:pStyle w:val="NormalWeb"/>
        <w:numPr>
          <w:ilvl w:val="0"/>
          <w:numId w:val="5"/>
        </w:numPr>
        <w:jc w:val="both"/>
      </w:pPr>
      <w:r>
        <w:t>The Bank shall not dispatch a card to a customer unsolicited, except in the case where the card is a replacement/renewal of a card already held by the customer. In case a card is blocked at the request of the customer, replacement card in lieu of the blocked card shall be issued with the explicit consent of the customer.</w:t>
      </w:r>
    </w:p>
    <w:p w:rsidR="003A03D9" w:rsidRDefault="003A03D9" w:rsidP="003A03D9">
      <w:pPr>
        <w:pStyle w:val="NormalWeb"/>
        <w:numPr>
          <w:ilvl w:val="0"/>
          <w:numId w:val="5"/>
        </w:numPr>
        <w:jc w:val="both"/>
      </w:pPr>
      <w:r>
        <w:t>In case of an insurance cover provided with a card, the Bank shall ensure that the relevant nomination details are recorded by the Insurance Company and the availability of insurance is included, along with other information relating to conduct of ATM/Debit cards. . The information shall also include the details regarding the insurance cover, name/address and telephone number of the Insurance Company which will handle the claims relating to the insurance cover.</w:t>
      </w:r>
    </w:p>
    <w:p w:rsidR="003A03D9" w:rsidRDefault="003A03D9" w:rsidP="003A03D9">
      <w:pPr>
        <w:pStyle w:val="NormalWeb"/>
        <w:numPr>
          <w:ilvl w:val="0"/>
          <w:numId w:val="5"/>
        </w:numPr>
        <w:jc w:val="both"/>
      </w:pPr>
      <w:r>
        <w:t>The Bank reserves the right to disclose in strict confidence to other institution or to any court of competent jurisdiction, quasi-judicial authority, law enforcement agencies and any other wing of Central Government or State Government, such information concerning the Cardholder’s account as may be necessary or appropriate in connection with the Card transactions or its participation in any Electronic Funds Transfer Network.</w:t>
      </w:r>
    </w:p>
    <w:p w:rsidR="003A03D9" w:rsidRDefault="003A03D9" w:rsidP="003A03D9">
      <w:pPr>
        <w:pStyle w:val="ListParagraph"/>
        <w:numPr>
          <w:ilvl w:val="0"/>
          <w:numId w:val="3"/>
        </w:numPr>
        <w:suppressAutoHyphens w:val="0"/>
        <w:spacing w:line="240" w:lineRule="auto"/>
        <w:jc w:val="both"/>
      </w:pPr>
      <w:r>
        <w:rPr>
          <w:rFonts w:ascii="Times New Roman" w:hAnsi="Times New Roman"/>
          <w:sz w:val="24"/>
          <w:szCs w:val="24"/>
        </w:rPr>
        <w:t xml:space="preserve">The Bank shall be entitled to terminate the ATM/Debit Card facility with immediate effect and recall / return of the ATM/Debit Card upon failure to adhere or comply with these terms and conditions, death of the Cardholder and any other event by which the Bank concludes that allowing possession of card with the cardholder is detrimental to the image / interest of the Bank. </w:t>
      </w:r>
    </w:p>
    <w:p w:rsidR="003A03D9" w:rsidRDefault="003A03D9" w:rsidP="003A03D9">
      <w:pPr>
        <w:pStyle w:val="ListParagraph"/>
        <w:numPr>
          <w:ilvl w:val="0"/>
          <w:numId w:val="6"/>
        </w:numPr>
        <w:suppressAutoHyphens w:val="0"/>
        <w:spacing w:line="240" w:lineRule="auto"/>
        <w:jc w:val="both"/>
        <w:rPr>
          <w:rFonts w:ascii="Times New Roman" w:hAnsi="Times New Roman"/>
          <w:sz w:val="24"/>
          <w:szCs w:val="24"/>
        </w:rPr>
      </w:pPr>
      <w:r>
        <w:rPr>
          <w:rFonts w:ascii="Times New Roman" w:hAnsi="Times New Roman"/>
          <w:sz w:val="24"/>
          <w:szCs w:val="24"/>
        </w:rPr>
        <w:t xml:space="preserve">The records of the Bank in computers for transactions put through by use of   ATM/Debit Card at any ATM, </w:t>
      </w:r>
      <w:proofErr w:type="spellStart"/>
      <w:r>
        <w:rPr>
          <w:rFonts w:ascii="Times New Roman" w:hAnsi="Times New Roman"/>
          <w:sz w:val="24"/>
          <w:szCs w:val="24"/>
        </w:rPr>
        <w:t>PoS</w:t>
      </w:r>
      <w:proofErr w:type="spellEnd"/>
      <w:r>
        <w:rPr>
          <w:rFonts w:ascii="Times New Roman" w:hAnsi="Times New Roman"/>
          <w:sz w:val="24"/>
          <w:szCs w:val="24"/>
        </w:rPr>
        <w:t xml:space="preserve"> or Internet shall be conclusive and binding on all concerned for all purposes.</w:t>
      </w:r>
    </w:p>
    <w:p w:rsidR="003A03D9" w:rsidRDefault="003A03D9" w:rsidP="003A03D9">
      <w:pPr>
        <w:pStyle w:val="ListParagraph"/>
        <w:numPr>
          <w:ilvl w:val="0"/>
          <w:numId w:val="6"/>
        </w:numPr>
        <w:suppressAutoHyphens w:val="0"/>
        <w:spacing w:line="240" w:lineRule="auto"/>
        <w:jc w:val="both"/>
      </w:pPr>
      <w:r>
        <w:rPr>
          <w:rFonts w:ascii="Times New Roman" w:hAnsi="Times New Roman"/>
          <w:sz w:val="24"/>
          <w:szCs w:val="24"/>
        </w:rPr>
        <w:t xml:space="preserve">All fees related </w:t>
      </w:r>
      <w:proofErr w:type="gramStart"/>
      <w:r>
        <w:rPr>
          <w:rFonts w:ascii="Times New Roman" w:hAnsi="Times New Roman"/>
          <w:sz w:val="24"/>
          <w:szCs w:val="24"/>
        </w:rPr>
        <w:t>to  ATM</w:t>
      </w:r>
      <w:proofErr w:type="gramEnd"/>
      <w:r>
        <w:rPr>
          <w:rFonts w:ascii="Times New Roman" w:hAnsi="Times New Roman"/>
          <w:sz w:val="24"/>
          <w:szCs w:val="24"/>
        </w:rPr>
        <w:t xml:space="preserve">/Debit Card are determined by the Bank from time to time and will be recovered to the debit of the Cardholder’s account; and the Cardholder shall unconditionally agree to pay / provide funds for such levy. </w:t>
      </w:r>
    </w:p>
    <w:p w:rsidR="003A03D9" w:rsidRDefault="003A03D9" w:rsidP="003A03D9">
      <w:pPr>
        <w:pStyle w:val="ListParagraph"/>
        <w:numPr>
          <w:ilvl w:val="0"/>
          <w:numId w:val="6"/>
        </w:numPr>
        <w:suppressAutoHyphens w:val="0"/>
        <w:spacing w:line="240" w:lineRule="auto"/>
      </w:pPr>
      <w:r>
        <w:rPr>
          <w:rFonts w:ascii="Times New Roman" w:hAnsi="Times New Roman"/>
          <w:sz w:val="24"/>
          <w:szCs w:val="24"/>
        </w:rPr>
        <w:t xml:space="preserve">All the transactions arising from the use of the ATM/DEBIT card to operate a designated joint account shall be binding on all the account holders jointly and severally. </w:t>
      </w:r>
    </w:p>
    <w:p w:rsidR="003A03D9" w:rsidRDefault="003A03D9" w:rsidP="003A03D9">
      <w:pPr>
        <w:pStyle w:val="ListParagraph"/>
        <w:numPr>
          <w:ilvl w:val="0"/>
          <w:numId w:val="6"/>
        </w:numPr>
        <w:suppressAutoHyphens w:val="0"/>
        <w:spacing w:line="240" w:lineRule="auto"/>
        <w:jc w:val="both"/>
        <w:rPr>
          <w:rFonts w:ascii="Times New Roman" w:hAnsi="Times New Roman"/>
          <w:sz w:val="24"/>
          <w:szCs w:val="24"/>
        </w:rPr>
      </w:pPr>
      <w:r>
        <w:rPr>
          <w:rFonts w:ascii="Times New Roman" w:hAnsi="Times New Roman"/>
          <w:sz w:val="24"/>
          <w:szCs w:val="24"/>
        </w:rPr>
        <w:t xml:space="preserve">The Bank shall not be liable whatsoever for any loss / damage arising out of issue of the ATM/Debit Card and related PIN to the cardholder. </w:t>
      </w:r>
    </w:p>
    <w:p w:rsidR="00CE00F0" w:rsidRPr="00CE00F0" w:rsidRDefault="00CE00F0" w:rsidP="00CE00F0">
      <w:pPr>
        <w:pStyle w:val="ListParagraph"/>
        <w:numPr>
          <w:ilvl w:val="0"/>
          <w:numId w:val="6"/>
        </w:numPr>
        <w:suppressAutoHyphens w:val="0"/>
        <w:spacing w:line="240" w:lineRule="auto"/>
        <w:jc w:val="both"/>
        <w:rPr>
          <w:sz w:val="23"/>
          <w:szCs w:val="23"/>
        </w:rPr>
      </w:pPr>
      <w:r w:rsidRPr="00CE00F0">
        <w:rPr>
          <w:rFonts w:ascii="Times New Roman" w:hAnsi="Times New Roman"/>
          <w:sz w:val="23"/>
          <w:szCs w:val="23"/>
        </w:rPr>
        <w:t>The Bank is entitled to request any data related to the Cardholder and the account prior to blocking in order to verify the identity of the reporting person. The Bank will debit the Cardholder’s SB/CA/CC account with the cost of issuing a replacem</w:t>
      </w:r>
      <w:r>
        <w:rPr>
          <w:rFonts w:ascii="Times New Roman" w:hAnsi="Times New Roman"/>
          <w:sz w:val="23"/>
          <w:szCs w:val="23"/>
        </w:rPr>
        <w:t xml:space="preserve">ent </w:t>
      </w:r>
      <w:r w:rsidRPr="00CE00F0">
        <w:rPr>
          <w:rFonts w:ascii="Times New Roman" w:hAnsi="Times New Roman"/>
          <w:sz w:val="23"/>
          <w:szCs w:val="23"/>
        </w:rPr>
        <w:t xml:space="preserve">ATM/DEBIT Card. Any replacement of ATM/DEBIT Card shall be subject to the terms and conditions, which are in force at the time of issuing the replacement card. </w:t>
      </w:r>
    </w:p>
    <w:p w:rsidR="00CE00F0" w:rsidRDefault="00CE00F0" w:rsidP="00CE00F0">
      <w:pPr>
        <w:pStyle w:val="ListParagraph"/>
        <w:suppressAutoHyphens w:val="0"/>
        <w:spacing w:line="240" w:lineRule="auto"/>
        <w:jc w:val="both"/>
      </w:pPr>
    </w:p>
    <w:tbl>
      <w:tblPr>
        <w:tblW w:w="10141" w:type="dxa"/>
        <w:tblInd w:w="-252" w:type="dxa"/>
        <w:tblCellMar>
          <w:left w:w="10" w:type="dxa"/>
          <w:right w:w="10" w:type="dxa"/>
        </w:tblCellMar>
        <w:tblLook w:val="0000" w:firstRow="0" w:lastRow="0" w:firstColumn="0" w:lastColumn="0" w:noHBand="0" w:noVBand="0"/>
      </w:tblPr>
      <w:tblGrid>
        <w:gridCol w:w="1449"/>
        <w:gridCol w:w="8692"/>
      </w:tblGrid>
      <w:tr w:rsidR="00CE00F0" w:rsidTr="00415876">
        <w:trPr>
          <w:trHeight w:val="876"/>
        </w:trPr>
        <w:tc>
          <w:tcPr>
            <w:tcW w:w="1449" w:type="dxa"/>
            <w:shd w:val="clear" w:color="auto" w:fill="auto"/>
            <w:tcMar>
              <w:top w:w="0" w:type="dxa"/>
              <w:left w:w="108" w:type="dxa"/>
              <w:bottom w:w="0" w:type="dxa"/>
              <w:right w:w="108" w:type="dxa"/>
            </w:tcMar>
          </w:tcPr>
          <w:p w:rsidR="00CE00F0" w:rsidRDefault="00CE00F0" w:rsidP="00415876">
            <w:pPr>
              <w:ind w:right="-98"/>
              <w:jc w:val="both"/>
            </w:pPr>
            <w:r>
              <w:rPr>
                <w:rFonts w:ascii="Book Antiqua" w:hAnsi="Book Antiqua"/>
                <w:b/>
                <w:noProof/>
                <w:sz w:val="28"/>
                <w:lang w:eastAsia="en-GB" w:bidi="hi-IN"/>
              </w:rPr>
              <w:drawing>
                <wp:inline distT="0" distB="0" distL="0" distR="0" wp14:anchorId="7DCD244F" wp14:editId="41F6F804">
                  <wp:extent cx="581028" cy="581028"/>
                  <wp:effectExtent l="0" t="0" r="9522" b="9522"/>
                  <wp:docPr id="4" name="Picture 4" descr="C:\Users\hr\Desktop\LOGO\Bank_Logo.jp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rcRect/>
                          <a:stretch>
                            <a:fillRect/>
                          </a:stretch>
                        </pic:blipFill>
                        <pic:spPr>
                          <a:xfrm>
                            <a:off x="0" y="0"/>
                            <a:ext cx="581028" cy="581028"/>
                          </a:xfrm>
                          <a:prstGeom prst="rect">
                            <a:avLst/>
                          </a:prstGeom>
                          <a:noFill/>
                          <a:ln>
                            <a:noFill/>
                            <a:prstDash/>
                          </a:ln>
                        </pic:spPr>
                      </pic:pic>
                    </a:graphicData>
                  </a:graphic>
                </wp:inline>
              </w:drawing>
            </w:r>
          </w:p>
        </w:tc>
        <w:tc>
          <w:tcPr>
            <w:tcW w:w="8692" w:type="dxa"/>
            <w:shd w:val="clear" w:color="auto" w:fill="auto"/>
            <w:tcMar>
              <w:top w:w="0" w:type="dxa"/>
              <w:left w:w="108" w:type="dxa"/>
              <w:bottom w:w="0" w:type="dxa"/>
              <w:right w:w="108" w:type="dxa"/>
            </w:tcMar>
          </w:tcPr>
          <w:p w:rsidR="00CE00F0" w:rsidRDefault="00CE00F0" w:rsidP="00415876">
            <w:pPr>
              <w:ind w:right="252"/>
              <w:jc w:val="both"/>
              <w:rPr>
                <w:rFonts w:ascii="Book Antiqua" w:hAnsi="Book Antiqua"/>
                <w:b/>
              </w:rPr>
            </w:pPr>
          </w:p>
          <w:p w:rsidR="00CE00F0" w:rsidRDefault="00CE00F0" w:rsidP="00415876">
            <w:pPr>
              <w:ind w:right="252"/>
              <w:jc w:val="both"/>
              <w:rPr>
                <w:rFonts w:ascii="Book Antiqua" w:hAnsi="Book Antiqua"/>
                <w:b/>
              </w:rPr>
            </w:pPr>
            <w:r>
              <w:rPr>
                <w:rFonts w:ascii="Book Antiqua" w:hAnsi="Book Antiqua"/>
                <w:b/>
              </w:rPr>
              <w:t>INDRAPRASTHA SEHKARI BANK LTD.</w:t>
            </w:r>
          </w:p>
        </w:tc>
      </w:tr>
    </w:tbl>
    <w:p w:rsidR="003A03D9" w:rsidRDefault="003A03D9" w:rsidP="003A03D9">
      <w:pPr>
        <w:pStyle w:val="ListParagraph"/>
        <w:numPr>
          <w:ilvl w:val="0"/>
          <w:numId w:val="6"/>
        </w:numPr>
        <w:suppressAutoHyphens w:val="0"/>
        <w:spacing w:line="240" w:lineRule="auto"/>
      </w:pPr>
      <w:r>
        <w:rPr>
          <w:rFonts w:ascii="Times New Roman" w:hAnsi="Times New Roman"/>
          <w:sz w:val="24"/>
          <w:szCs w:val="24"/>
        </w:rPr>
        <w:t xml:space="preserve">Any statement issued by the machine at the time of withdrawal shall be conclusive unless verified and found otherwise by the Bank. Any such verification shall likewise be final and conclusive and the Cardholder shall not have objection thereto. </w:t>
      </w:r>
    </w:p>
    <w:p w:rsidR="003A03D9" w:rsidRDefault="003A03D9" w:rsidP="003A03D9">
      <w:pPr>
        <w:pStyle w:val="NormalWeb"/>
        <w:jc w:val="both"/>
        <w:rPr>
          <w:b/>
        </w:rPr>
      </w:pPr>
      <w:r>
        <w:rPr>
          <w:b/>
        </w:rPr>
        <w:t>Other conditions:</w:t>
      </w:r>
    </w:p>
    <w:p w:rsidR="003A03D9" w:rsidRDefault="003A03D9" w:rsidP="003A03D9">
      <w:pPr>
        <w:pStyle w:val="NormalWeb"/>
        <w:numPr>
          <w:ilvl w:val="0"/>
          <w:numId w:val="7"/>
        </w:numPr>
        <w:jc w:val="both"/>
      </w:pPr>
      <w:r>
        <w:t>The relationship between the Bank and the cardholder shall be contractual. The Bank shall make available to the cardholders in writing, a set of contractual terms and conditions governing the issue and use of such cards.</w:t>
      </w:r>
    </w:p>
    <w:p w:rsidR="003A03D9" w:rsidRDefault="003A03D9" w:rsidP="003A03D9">
      <w:pPr>
        <w:pStyle w:val="NormalWeb"/>
        <w:numPr>
          <w:ilvl w:val="0"/>
          <w:numId w:val="7"/>
        </w:numPr>
        <w:jc w:val="both"/>
      </w:pPr>
      <w:r>
        <w:t>The terms and conditions for the issue and usage of a card shall be mentioned in clear and simple language (preferably in English, Hindi and the local language) comprehensible to the cardholder.</w:t>
      </w:r>
    </w:p>
    <w:p w:rsidR="003A03D9" w:rsidRDefault="003A03D9" w:rsidP="003A03D9">
      <w:pPr>
        <w:pStyle w:val="NormalWeb"/>
        <w:numPr>
          <w:ilvl w:val="0"/>
          <w:numId w:val="7"/>
        </w:numPr>
        <w:jc w:val="both"/>
      </w:pPr>
      <w:r>
        <w:t>The Bank shall not levy any charge that was not explicitly indicated to the cardholder at the time of issue of the card and without getting his/her explicit consent. However, this shall not be applicable to charges like service taxes which may subsequently be levied by the Government or any other statutory authority. The details of all the charges associated with cards shall be displayed on the website of the Bank.</w:t>
      </w:r>
    </w:p>
    <w:p w:rsidR="003A03D9" w:rsidRDefault="003A03D9" w:rsidP="003A03D9">
      <w:pPr>
        <w:pStyle w:val="NormalWeb"/>
        <w:numPr>
          <w:ilvl w:val="0"/>
          <w:numId w:val="7"/>
        </w:numPr>
        <w:jc w:val="both"/>
      </w:pPr>
      <w:r>
        <w:t>The Bank shall clearly specify the time-period for reversal of unsuccessful/failed transactions and the compensation payable for failure to meet the specified timeline.</w:t>
      </w:r>
    </w:p>
    <w:p w:rsidR="003A03D9" w:rsidRDefault="003A03D9" w:rsidP="003A03D9">
      <w:pPr>
        <w:pStyle w:val="head"/>
        <w:numPr>
          <w:ilvl w:val="0"/>
          <w:numId w:val="8"/>
        </w:numPr>
        <w:jc w:val="both"/>
      </w:pPr>
      <w:r>
        <w:t xml:space="preserve">The terms may be altered by the Bank, but 30 days’ notice of the change shall be </w:t>
      </w:r>
      <w:proofErr w:type="gramStart"/>
      <w:r>
        <w:t>given</w:t>
      </w:r>
      <w:proofErr w:type="gramEnd"/>
      <w:r>
        <w:t xml:space="preserve"> to the cardholder to enable him/her to withdraw if he/she so chooses. After the notice period of 30 days, the cardholder would be deemed to have accepted the terms if he/she had not withdrawn during the specified period. The change in terms shall be notified to the cardholder through all the communication channels available.</w:t>
      </w:r>
    </w:p>
    <w:p w:rsidR="003A03D9" w:rsidRDefault="003A03D9" w:rsidP="003A03D9">
      <w:pPr>
        <w:pStyle w:val="head"/>
        <w:jc w:val="both"/>
      </w:pPr>
      <w:r>
        <w:rPr>
          <w:b/>
          <w:bCs/>
        </w:rPr>
        <w:t xml:space="preserve">Compliance with Other instructions - </w:t>
      </w:r>
      <w:r>
        <w:t xml:space="preserve">The issue of cards as a payment mechanism shall also be subject to relevant instructions on cash withdrawal, security issues and risk mitigation measures, card-to-card fund transfers, merchant discount rates structure, failed ATM transactions, </w:t>
      </w:r>
      <w:proofErr w:type="spellStart"/>
      <w:r>
        <w:t>etc</w:t>
      </w:r>
      <w:proofErr w:type="spellEnd"/>
      <w:r>
        <w:t>, issued by the Department of Payment and Settlement Systems, Reserve Bank of India under the Payment and Settlement Systems Act, 2007, and the Foreign Exchange Department, Reserve Bank of India under Foreign Exchange Management Act, 1999, as amended from time to time.</w:t>
      </w:r>
    </w:p>
    <w:p w:rsidR="003A03D9" w:rsidRDefault="003A03D9" w:rsidP="003A03D9">
      <w:pPr>
        <w:pStyle w:val="head"/>
        <w:jc w:val="both"/>
        <w:rPr>
          <w:b/>
          <w:bCs/>
        </w:rPr>
      </w:pPr>
      <w:r>
        <w:rPr>
          <w:b/>
          <w:bCs/>
        </w:rPr>
        <w:t>Contents of the Most Important Terms and Conditions (MITC) –Debit Cards</w:t>
      </w:r>
    </w:p>
    <w:p w:rsidR="003A03D9" w:rsidRDefault="003A03D9" w:rsidP="003A03D9">
      <w:pPr>
        <w:pStyle w:val="NormalWeb"/>
        <w:jc w:val="both"/>
      </w:pPr>
      <w:r>
        <w:t>Card-issuers shall provide to the cardholder the term-sheet containing the MITC. The document should contain the following details:</w:t>
      </w:r>
    </w:p>
    <w:p w:rsidR="003A03D9" w:rsidRDefault="003A03D9" w:rsidP="003A03D9">
      <w:pPr>
        <w:pStyle w:val="NormalWeb"/>
        <w:numPr>
          <w:ilvl w:val="0"/>
          <w:numId w:val="9"/>
        </w:numPr>
        <w:spacing w:before="0" w:after="0"/>
        <w:jc w:val="both"/>
      </w:pPr>
      <w:r>
        <w:t>Fees and Charges</w:t>
      </w:r>
    </w:p>
    <w:p w:rsidR="003A03D9" w:rsidRDefault="003A03D9" w:rsidP="003A03D9">
      <w:pPr>
        <w:pStyle w:val="NormalWeb"/>
        <w:numPr>
          <w:ilvl w:val="0"/>
          <w:numId w:val="9"/>
        </w:numPr>
        <w:spacing w:before="0" w:after="0"/>
        <w:jc w:val="both"/>
      </w:pPr>
      <w:proofErr w:type="spellStart"/>
      <w:r>
        <w:t>Drawal</w:t>
      </w:r>
      <w:proofErr w:type="spellEnd"/>
      <w:r>
        <w:t xml:space="preserve"> Limits</w:t>
      </w:r>
    </w:p>
    <w:p w:rsidR="003A03D9" w:rsidRDefault="003A03D9" w:rsidP="003A03D9">
      <w:pPr>
        <w:pStyle w:val="NormalWeb"/>
        <w:numPr>
          <w:ilvl w:val="0"/>
          <w:numId w:val="9"/>
        </w:numPr>
        <w:spacing w:before="0" w:after="0"/>
        <w:jc w:val="both"/>
      </w:pPr>
      <w:r>
        <w:t>Loss/Theft/Misuse of Card</w:t>
      </w:r>
    </w:p>
    <w:p w:rsidR="003A03D9" w:rsidRDefault="003A03D9" w:rsidP="003A03D9">
      <w:pPr>
        <w:pStyle w:val="NormalWeb"/>
        <w:numPr>
          <w:ilvl w:val="0"/>
          <w:numId w:val="9"/>
        </w:numPr>
        <w:spacing w:before="0" w:after="0"/>
        <w:jc w:val="both"/>
      </w:pPr>
      <w:r>
        <w:t>Grievance Redressal and Compensation Framework</w:t>
      </w:r>
    </w:p>
    <w:p w:rsidR="003A03D9" w:rsidRDefault="003A03D9" w:rsidP="003A03D9">
      <w:pPr>
        <w:pStyle w:val="NormalWeb"/>
        <w:numPr>
          <w:ilvl w:val="0"/>
          <w:numId w:val="9"/>
        </w:numPr>
        <w:spacing w:before="0" w:after="0"/>
        <w:jc w:val="both"/>
      </w:pPr>
      <w:r>
        <w:t>Disclosure</w:t>
      </w:r>
    </w:p>
    <w:p w:rsidR="00CE00F0" w:rsidRDefault="00CE00F0" w:rsidP="00CE00F0">
      <w:pPr>
        <w:pStyle w:val="NormalWeb"/>
        <w:spacing w:before="0" w:after="0"/>
        <w:ind w:left="720"/>
        <w:jc w:val="both"/>
      </w:pPr>
    </w:p>
    <w:p w:rsidR="00CE00F0" w:rsidRDefault="00CE00F0" w:rsidP="00CE00F0">
      <w:pPr>
        <w:spacing w:line="240" w:lineRule="auto"/>
        <w:jc w:val="both"/>
      </w:pPr>
      <w:r w:rsidRPr="00CE00F0">
        <w:rPr>
          <w:rFonts w:ascii="Times New Roman" w:hAnsi="Times New Roman"/>
          <w:b/>
          <w:bCs/>
          <w:sz w:val="24"/>
          <w:szCs w:val="24"/>
        </w:rPr>
        <w:t>Grievance redressal:</w:t>
      </w:r>
      <w:r w:rsidRPr="00CE00F0">
        <w:rPr>
          <w:b/>
          <w:bCs/>
        </w:rPr>
        <w:t xml:space="preserve"> </w:t>
      </w:r>
      <w:r w:rsidRPr="00CE00F0">
        <w:rPr>
          <w:rFonts w:ascii="Times New Roman" w:hAnsi="Times New Roman"/>
          <w:bCs/>
          <w:sz w:val="24"/>
          <w:szCs w:val="24"/>
        </w:rPr>
        <w:t>The Bank has already put in place a</w:t>
      </w:r>
      <w:r w:rsidRPr="00CE00F0">
        <w:rPr>
          <w:rFonts w:ascii="Times New Roman" w:hAnsi="Times New Roman"/>
          <w:sz w:val="24"/>
          <w:szCs w:val="24"/>
        </w:rPr>
        <w:t xml:space="preserve"> Customer Grievance Redressal Policy which lays down a uniform complaint redressal framework to be followed across the bank while handling and resolving customer complaints.  It highlights the process set by the bank based on RBI guidelines for timely and satisfactory resolution of all customer grievances. </w:t>
      </w:r>
    </w:p>
    <w:p w:rsidR="00CE00F0" w:rsidRDefault="00CE00F0" w:rsidP="00CE00F0">
      <w:pPr>
        <w:spacing w:line="240" w:lineRule="auto"/>
        <w:jc w:val="both"/>
        <w:rPr>
          <w:rFonts w:ascii="Times New Roman" w:hAnsi="Times New Roman"/>
          <w:sz w:val="24"/>
          <w:szCs w:val="24"/>
        </w:rPr>
      </w:pPr>
      <w:r>
        <w:rPr>
          <w:rFonts w:ascii="Times New Roman" w:hAnsi="Times New Roman"/>
          <w:sz w:val="24"/>
          <w:szCs w:val="24"/>
        </w:rPr>
        <w:t>The policy also informs our customers about various channels through which they can reach out to the Bank for sharing their concerns or unpleasant experiences and alternate avenues available with them for grievance redressal.</w:t>
      </w:r>
    </w:p>
    <w:tbl>
      <w:tblPr>
        <w:tblW w:w="10141" w:type="dxa"/>
        <w:tblInd w:w="-252" w:type="dxa"/>
        <w:tblCellMar>
          <w:left w:w="10" w:type="dxa"/>
          <w:right w:w="10" w:type="dxa"/>
        </w:tblCellMar>
        <w:tblLook w:val="0000" w:firstRow="0" w:lastRow="0" w:firstColumn="0" w:lastColumn="0" w:noHBand="0" w:noVBand="0"/>
      </w:tblPr>
      <w:tblGrid>
        <w:gridCol w:w="1449"/>
        <w:gridCol w:w="8692"/>
      </w:tblGrid>
      <w:tr w:rsidR="00CE00F0" w:rsidTr="00CE00F0">
        <w:trPr>
          <w:trHeight w:val="1382"/>
        </w:trPr>
        <w:tc>
          <w:tcPr>
            <w:tcW w:w="1449" w:type="dxa"/>
            <w:shd w:val="clear" w:color="auto" w:fill="auto"/>
            <w:tcMar>
              <w:top w:w="0" w:type="dxa"/>
              <w:left w:w="108" w:type="dxa"/>
              <w:bottom w:w="0" w:type="dxa"/>
              <w:right w:w="108" w:type="dxa"/>
            </w:tcMar>
          </w:tcPr>
          <w:p w:rsidR="00CE00F0" w:rsidRDefault="00CE00F0" w:rsidP="00415876">
            <w:pPr>
              <w:ind w:right="-98"/>
              <w:jc w:val="both"/>
            </w:pPr>
            <w:r>
              <w:rPr>
                <w:rFonts w:ascii="Book Antiqua" w:hAnsi="Book Antiqua"/>
                <w:b/>
                <w:noProof/>
                <w:sz w:val="28"/>
                <w:lang w:eastAsia="en-GB" w:bidi="hi-IN"/>
              </w:rPr>
              <w:lastRenderedPageBreak/>
              <w:drawing>
                <wp:inline distT="0" distB="0" distL="0" distR="0" wp14:anchorId="33A4D949" wp14:editId="56308E46">
                  <wp:extent cx="581028" cy="581028"/>
                  <wp:effectExtent l="0" t="0" r="9522" b="9522"/>
                  <wp:docPr id="5" name="Picture 4" descr="C:\Users\hr\Desktop\LOGO\Bank_Logo.jp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rcRect/>
                          <a:stretch>
                            <a:fillRect/>
                          </a:stretch>
                        </pic:blipFill>
                        <pic:spPr>
                          <a:xfrm>
                            <a:off x="0" y="0"/>
                            <a:ext cx="581028" cy="581028"/>
                          </a:xfrm>
                          <a:prstGeom prst="rect">
                            <a:avLst/>
                          </a:prstGeom>
                          <a:noFill/>
                          <a:ln>
                            <a:noFill/>
                            <a:prstDash/>
                          </a:ln>
                        </pic:spPr>
                      </pic:pic>
                    </a:graphicData>
                  </a:graphic>
                </wp:inline>
              </w:drawing>
            </w:r>
          </w:p>
        </w:tc>
        <w:tc>
          <w:tcPr>
            <w:tcW w:w="8692" w:type="dxa"/>
            <w:shd w:val="clear" w:color="auto" w:fill="auto"/>
            <w:tcMar>
              <w:top w:w="0" w:type="dxa"/>
              <w:left w:w="108" w:type="dxa"/>
              <w:bottom w:w="0" w:type="dxa"/>
              <w:right w:w="108" w:type="dxa"/>
            </w:tcMar>
          </w:tcPr>
          <w:p w:rsidR="00CE00F0" w:rsidRDefault="00CE00F0" w:rsidP="00415876">
            <w:pPr>
              <w:ind w:right="252"/>
              <w:jc w:val="both"/>
              <w:rPr>
                <w:rFonts w:ascii="Book Antiqua" w:hAnsi="Book Antiqua"/>
                <w:b/>
              </w:rPr>
            </w:pPr>
          </w:p>
          <w:p w:rsidR="00CE00F0" w:rsidRDefault="00CE00F0" w:rsidP="00415876">
            <w:pPr>
              <w:ind w:right="252"/>
              <w:jc w:val="both"/>
              <w:rPr>
                <w:rFonts w:ascii="Book Antiqua" w:hAnsi="Book Antiqua"/>
                <w:b/>
              </w:rPr>
            </w:pPr>
            <w:r>
              <w:rPr>
                <w:rFonts w:ascii="Book Antiqua" w:hAnsi="Book Antiqua"/>
                <w:b/>
              </w:rPr>
              <w:t>INDRAPRASTHA SEHKARI BANK LTD.</w:t>
            </w:r>
          </w:p>
        </w:tc>
      </w:tr>
    </w:tbl>
    <w:p w:rsidR="003A03D9" w:rsidRDefault="003A03D9" w:rsidP="003A03D9">
      <w:pPr>
        <w:spacing w:line="240" w:lineRule="auto"/>
        <w:jc w:val="both"/>
        <w:rPr>
          <w:rFonts w:ascii="Times New Roman" w:hAnsi="Times New Roman"/>
          <w:sz w:val="24"/>
          <w:szCs w:val="24"/>
        </w:rPr>
      </w:pPr>
      <w:r>
        <w:rPr>
          <w:rFonts w:ascii="Times New Roman" w:hAnsi="Times New Roman"/>
          <w:sz w:val="24"/>
          <w:szCs w:val="24"/>
        </w:rPr>
        <w:t>This policy document is available at all branches &amp; website of the Bank and employees                                                                                                                                                                                                                                                                                                                                                                          have been made aware of the complaint handling process. Grievance redressal mechanism, inter-alia, provides for</w:t>
      </w:r>
    </w:p>
    <w:p w:rsidR="003A03D9" w:rsidRDefault="003A03D9" w:rsidP="003A03D9">
      <w:pPr>
        <w:pStyle w:val="ListParagraph"/>
        <w:numPr>
          <w:ilvl w:val="0"/>
          <w:numId w:val="10"/>
        </w:numPr>
        <w:spacing w:line="240" w:lineRule="auto"/>
        <w:jc w:val="both"/>
        <w:rPr>
          <w:rFonts w:ascii="Times New Roman" w:hAnsi="Times New Roman"/>
          <w:sz w:val="24"/>
          <w:szCs w:val="24"/>
        </w:rPr>
      </w:pPr>
      <w:r>
        <w:rPr>
          <w:rFonts w:ascii="Times New Roman" w:hAnsi="Times New Roman"/>
          <w:sz w:val="24"/>
          <w:szCs w:val="24"/>
        </w:rPr>
        <w:t>Ensure acknowledging customers’ complaints for follow up, such as complaint number/docket number, even if the complaints are received over phone.</w:t>
      </w:r>
    </w:p>
    <w:p w:rsidR="003A03D9" w:rsidRDefault="003A03D9" w:rsidP="003A03D9">
      <w:pPr>
        <w:pStyle w:val="NormalWeb"/>
        <w:numPr>
          <w:ilvl w:val="0"/>
          <w:numId w:val="10"/>
        </w:numPr>
        <w:jc w:val="both"/>
      </w:pPr>
      <w:r>
        <w:t xml:space="preserve">Be liable to compensate the complainant for the loss of his/her time, expenses, financial loss as well as for the harassment and mental anguish suffered by him/her for the fault of the Bank and where the grievance has not been redressed in time. </w:t>
      </w:r>
    </w:p>
    <w:p w:rsidR="003A03D9" w:rsidRDefault="003A03D9" w:rsidP="003A03D9">
      <w:pPr>
        <w:pStyle w:val="NormalWeb"/>
        <w:numPr>
          <w:ilvl w:val="0"/>
          <w:numId w:val="10"/>
        </w:numPr>
        <w:jc w:val="both"/>
      </w:pPr>
      <w:r>
        <w:t>If a complainant does not get satisfactory response from the Bank within a maximum period of one month from the date of lodging the complaint, he/she will have the option to approach the Office of the concerned RBI Ombudsman for redressal of his/her grievance/s.</w:t>
      </w:r>
    </w:p>
    <w:p w:rsidR="003A03D9" w:rsidRDefault="003A03D9" w:rsidP="003A03D9">
      <w:pPr>
        <w:pStyle w:val="head"/>
        <w:jc w:val="both"/>
      </w:pPr>
      <w:r>
        <w:rPr>
          <w:b/>
        </w:rPr>
        <w:t xml:space="preserve">Customer protection: </w:t>
      </w:r>
      <w:r>
        <w:rPr>
          <w:color w:val="000000"/>
        </w:rPr>
        <w:t>The burden of proving Customer liability in case of unauthorized electronic banking transactions shall be with the bank. The Customer Protection Policy of the Bank provides for:</w:t>
      </w:r>
    </w:p>
    <w:p w:rsidR="003A03D9" w:rsidRDefault="003A03D9" w:rsidP="003A03D9">
      <w:pPr>
        <w:numPr>
          <w:ilvl w:val="0"/>
          <w:numId w:val="11"/>
        </w:numPr>
        <w:tabs>
          <w:tab w:val="left" w:pos="1280"/>
        </w:tabs>
        <w:suppressAutoHyphens w:val="0"/>
        <w:spacing w:after="0" w:line="240" w:lineRule="auto"/>
        <w:ind w:left="1280" w:right="-288" w:hanging="339"/>
        <w:jc w:val="both"/>
        <w:textAlignment w:val="auto"/>
        <w:rPr>
          <w:rFonts w:ascii="Times New Roman" w:hAnsi="Times New Roman"/>
          <w:sz w:val="24"/>
          <w:szCs w:val="24"/>
        </w:rPr>
      </w:pPr>
      <w:r>
        <w:rPr>
          <w:rFonts w:ascii="Times New Roman" w:hAnsi="Times New Roman"/>
          <w:sz w:val="24"/>
          <w:szCs w:val="24"/>
        </w:rPr>
        <w:t>Customer protection (including mechanism of creating customer awareness on the risks and responsibilities involved in electronic banking transactions),</w:t>
      </w:r>
    </w:p>
    <w:p w:rsidR="003A03D9" w:rsidRDefault="003A03D9" w:rsidP="003A03D9">
      <w:pPr>
        <w:numPr>
          <w:ilvl w:val="0"/>
          <w:numId w:val="11"/>
        </w:numPr>
        <w:tabs>
          <w:tab w:val="left" w:pos="1280"/>
        </w:tabs>
        <w:suppressAutoHyphens w:val="0"/>
        <w:spacing w:after="0" w:line="240" w:lineRule="auto"/>
        <w:ind w:left="1280" w:right="-288" w:hanging="339"/>
        <w:jc w:val="both"/>
        <w:textAlignment w:val="auto"/>
        <w:rPr>
          <w:rFonts w:ascii="Times New Roman" w:hAnsi="Times New Roman"/>
          <w:sz w:val="24"/>
          <w:szCs w:val="24"/>
        </w:rPr>
      </w:pPr>
      <w:r>
        <w:rPr>
          <w:rFonts w:ascii="Times New Roman" w:hAnsi="Times New Roman"/>
          <w:sz w:val="24"/>
          <w:szCs w:val="24"/>
        </w:rPr>
        <w:t>Customer liability in cases of unauthorized electronic banking transactions.</w:t>
      </w:r>
    </w:p>
    <w:p w:rsidR="003A03D9" w:rsidRDefault="003A03D9" w:rsidP="003A03D9">
      <w:pPr>
        <w:numPr>
          <w:ilvl w:val="0"/>
          <w:numId w:val="11"/>
        </w:numPr>
        <w:tabs>
          <w:tab w:val="left" w:pos="1280"/>
        </w:tabs>
        <w:suppressAutoHyphens w:val="0"/>
        <w:spacing w:after="0" w:line="240" w:lineRule="auto"/>
        <w:ind w:left="1280" w:right="-288" w:hanging="339"/>
        <w:jc w:val="both"/>
        <w:textAlignment w:val="auto"/>
      </w:pPr>
      <w:r>
        <w:rPr>
          <w:rFonts w:ascii="Times New Roman" w:hAnsi="Times New Roman"/>
          <w:sz w:val="24"/>
          <w:szCs w:val="24"/>
        </w:rPr>
        <w:t>Customer compensation due to unauthorized electronic banking transactions (within defined timelines).</w:t>
      </w:r>
    </w:p>
    <w:p w:rsidR="003A03D9" w:rsidRDefault="003A03D9" w:rsidP="003A03D9">
      <w:pPr>
        <w:tabs>
          <w:tab w:val="left" w:pos="1280"/>
        </w:tabs>
        <w:suppressAutoHyphens w:val="0"/>
        <w:spacing w:after="0" w:line="240" w:lineRule="auto"/>
        <w:ind w:left="1280" w:right="-288"/>
        <w:jc w:val="both"/>
        <w:textAlignment w:val="auto"/>
        <w:rPr>
          <w:rFonts w:ascii="Times New Roman" w:hAnsi="Times New Roman"/>
          <w:sz w:val="24"/>
          <w:szCs w:val="24"/>
        </w:rPr>
      </w:pPr>
    </w:p>
    <w:p w:rsidR="003A03D9" w:rsidRDefault="003A03D9" w:rsidP="003A03D9">
      <w:pPr>
        <w:tabs>
          <w:tab w:val="left" w:pos="940"/>
        </w:tabs>
        <w:spacing w:line="240" w:lineRule="auto"/>
        <w:jc w:val="both"/>
        <w:rPr>
          <w:rFonts w:ascii="Times New Roman" w:hAnsi="Times New Roman"/>
          <w:sz w:val="24"/>
          <w:szCs w:val="24"/>
        </w:rPr>
      </w:pPr>
      <w:r>
        <w:rPr>
          <w:rFonts w:ascii="Times New Roman" w:hAnsi="Times New Roman"/>
          <w:sz w:val="24"/>
          <w:szCs w:val="24"/>
        </w:rPr>
        <w:t>The Policy is applicable to all customers of the Bank and it is intended to be read, understood and practiced by all the employees who are directly or indirectly involved in customer service.</w:t>
      </w:r>
    </w:p>
    <w:p w:rsidR="003A03D9" w:rsidRDefault="003A03D9" w:rsidP="003A03D9">
      <w:pPr>
        <w:tabs>
          <w:tab w:val="left" w:pos="940"/>
        </w:tabs>
        <w:spacing w:line="240" w:lineRule="auto"/>
        <w:jc w:val="both"/>
      </w:pPr>
      <w:r>
        <w:rPr>
          <w:rFonts w:ascii="Times New Roman" w:hAnsi="Times New Roman"/>
          <w:b/>
          <w:sz w:val="24"/>
          <w:szCs w:val="24"/>
        </w:rPr>
        <w:t>Cardholders education / awareness</w:t>
      </w:r>
      <w:r>
        <w:rPr>
          <w:rFonts w:ascii="Times New Roman" w:hAnsi="Times New Roman"/>
          <w:sz w:val="24"/>
          <w:szCs w:val="24"/>
        </w:rPr>
        <w:t>: The Bank shall keep all its ATM/Debit card holders aware of the do’s &amp; don’ts regarding use of ATM/Debit cards by sending SMS on their registered mobile numbers cautioning them against sharing of Card details, ATM PINs, OTP details since the Bank never asks for the same.</w:t>
      </w:r>
    </w:p>
    <w:p w:rsidR="003A03D9" w:rsidRDefault="003A03D9" w:rsidP="003A03D9">
      <w:pPr>
        <w:pStyle w:val="head"/>
        <w:jc w:val="both"/>
      </w:pPr>
      <w:r>
        <w:rPr>
          <w:b/>
          <w:bCs/>
        </w:rPr>
        <w:t xml:space="preserve">Review of operations: </w:t>
      </w:r>
      <w:r>
        <w:rPr>
          <w:bCs/>
        </w:rPr>
        <w:t>Ba</w:t>
      </w:r>
      <w:r>
        <w:t>nks shall undertake review of its operations/issue of debit cards on half-yearly basis. The review shall include, inter-alia, card usage analysis including cards not used for long durations and the inherent risks therein.</w:t>
      </w:r>
    </w:p>
    <w:p w:rsidR="003A03D9" w:rsidRDefault="003A03D9" w:rsidP="003A03D9">
      <w:pPr>
        <w:pStyle w:val="head"/>
        <w:jc w:val="both"/>
      </w:pPr>
    </w:p>
    <w:p w:rsidR="003A03D9" w:rsidRDefault="003A03D9" w:rsidP="003A03D9">
      <w:pPr>
        <w:pStyle w:val="head"/>
        <w:jc w:val="both"/>
      </w:pPr>
      <w:r>
        <w:rPr>
          <w:b/>
        </w:rPr>
        <w:t xml:space="preserve">These policy guidelines </w:t>
      </w:r>
      <w:r>
        <w:rPr>
          <w:b/>
          <w:color w:val="000000"/>
        </w:rPr>
        <w:t>may be amended from time to time on the basis of circulars/instructions as and when received from Reserve Bank of India/RC</w:t>
      </w:r>
      <w:r>
        <w:rPr>
          <w:color w:val="000000"/>
        </w:rPr>
        <w:t>S.</w:t>
      </w:r>
    </w:p>
    <w:p w:rsidR="00CE00F0" w:rsidRPr="002377B9" w:rsidRDefault="00CE00F0" w:rsidP="00CE00F0">
      <w:pPr>
        <w:tabs>
          <w:tab w:val="left" w:pos="940"/>
        </w:tabs>
        <w:spacing w:line="240" w:lineRule="auto"/>
        <w:ind w:left="709"/>
        <w:jc w:val="both"/>
        <w:rPr>
          <w:rFonts w:ascii="Times New Roman" w:hAnsi="Times New Roman"/>
        </w:rPr>
      </w:pPr>
      <w:r>
        <w:t xml:space="preserve"> </w:t>
      </w:r>
    </w:p>
    <w:p w:rsidR="00CE00F0" w:rsidRDefault="00CE00F0" w:rsidP="00CE00F0">
      <w:pPr>
        <w:ind w:right="43"/>
        <w:jc w:val="both"/>
        <w:rPr>
          <w:rFonts w:ascii="Times New Roman" w:hAnsi="Times New Roman"/>
          <w:b/>
          <w:bCs/>
          <w:sz w:val="24"/>
          <w:szCs w:val="24"/>
        </w:rPr>
      </w:pPr>
    </w:p>
    <w:p w:rsidR="00CE00F0" w:rsidRDefault="00CE00F0" w:rsidP="00CE00F0">
      <w:pPr>
        <w:ind w:right="43"/>
        <w:jc w:val="both"/>
        <w:rPr>
          <w:rFonts w:ascii="Times New Roman" w:hAnsi="Times New Roman"/>
          <w:b/>
          <w:bCs/>
          <w:sz w:val="24"/>
          <w:szCs w:val="24"/>
        </w:rPr>
      </w:pPr>
      <w:r w:rsidRPr="00096DB8">
        <w:rPr>
          <w:rFonts w:ascii="Times New Roman" w:hAnsi="Times New Roman"/>
          <w:b/>
          <w:bCs/>
          <w:sz w:val="24"/>
          <w:szCs w:val="24"/>
        </w:rPr>
        <w:t xml:space="preserve"> (Chief Executive Officer)</w:t>
      </w:r>
    </w:p>
    <w:p w:rsidR="00F43485" w:rsidRPr="00147D3E" w:rsidRDefault="00F43485" w:rsidP="00147D3E">
      <w:pPr>
        <w:suppressAutoHyphens w:val="0"/>
        <w:autoSpaceDN/>
        <w:textAlignment w:val="auto"/>
        <w:rPr>
          <w:rFonts w:ascii="Times New Roman" w:hAnsi="Times New Roman"/>
          <w:b/>
          <w:bCs/>
          <w:sz w:val="24"/>
          <w:szCs w:val="24"/>
        </w:rPr>
      </w:pPr>
      <w:bookmarkStart w:id="0" w:name="_GoBack"/>
      <w:bookmarkEnd w:id="0"/>
    </w:p>
    <w:sectPr w:rsidR="00F43485" w:rsidRPr="00147D3E" w:rsidSect="004B0D64">
      <w:footerReference w:type="default" r:id="rId10"/>
      <w:pgSz w:w="11906" w:h="16838"/>
      <w:pgMar w:top="227" w:right="1440" w:bottom="113" w:left="1440" w:header="113" w:footer="0"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41CEC" w:rsidRDefault="00841CEC" w:rsidP="0061004F">
      <w:pPr>
        <w:spacing w:after="0" w:line="240" w:lineRule="auto"/>
      </w:pPr>
      <w:r>
        <w:separator/>
      </w:r>
    </w:p>
  </w:endnote>
  <w:endnote w:type="continuationSeparator" w:id="0">
    <w:p w:rsidR="00841CEC" w:rsidRDefault="00841CEC" w:rsidP="006100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45723082"/>
      <w:docPartObj>
        <w:docPartGallery w:val="Page Numbers (Bottom of Page)"/>
        <w:docPartUnique/>
      </w:docPartObj>
    </w:sdtPr>
    <w:sdtEndPr>
      <w:rPr>
        <w:noProof/>
      </w:rPr>
    </w:sdtEndPr>
    <w:sdtContent>
      <w:p w:rsidR="00CE00F0" w:rsidRDefault="00CE00F0">
        <w:pPr>
          <w:pStyle w:val="Footer"/>
          <w:jc w:val="center"/>
        </w:pPr>
        <w:r>
          <w:fldChar w:fldCharType="begin"/>
        </w:r>
        <w:r>
          <w:instrText xml:space="preserve"> PAGE   \* MERGEFORMAT </w:instrText>
        </w:r>
        <w:r>
          <w:fldChar w:fldCharType="separate"/>
        </w:r>
        <w:r w:rsidR="00147D3E">
          <w:rPr>
            <w:noProof/>
          </w:rPr>
          <w:t>5</w:t>
        </w:r>
        <w:r>
          <w:rPr>
            <w:noProof/>
          </w:rPr>
          <w:fldChar w:fldCharType="end"/>
        </w:r>
      </w:p>
    </w:sdtContent>
  </w:sdt>
  <w:p w:rsidR="0061004F" w:rsidRDefault="0061004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41CEC" w:rsidRDefault="00841CEC" w:rsidP="0061004F">
      <w:pPr>
        <w:spacing w:after="0" w:line="240" w:lineRule="auto"/>
      </w:pPr>
      <w:r>
        <w:separator/>
      </w:r>
    </w:p>
  </w:footnote>
  <w:footnote w:type="continuationSeparator" w:id="0">
    <w:p w:rsidR="00841CEC" w:rsidRDefault="00841CEC" w:rsidP="0061004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122C1A"/>
    <w:multiLevelType w:val="multilevel"/>
    <w:tmpl w:val="4F782E8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1C2E46BA"/>
    <w:multiLevelType w:val="multilevel"/>
    <w:tmpl w:val="32A4407A"/>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
    <w:nsid w:val="20FF7BCF"/>
    <w:multiLevelType w:val="multilevel"/>
    <w:tmpl w:val="1F509F4C"/>
    <w:lvl w:ilvl="0">
      <w:start w:val="1"/>
      <w:numFmt w:val="lowerLetter"/>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
    <w:nsid w:val="302A6D33"/>
    <w:multiLevelType w:val="hybridMultilevel"/>
    <w:tmpl w:val="F6BC0A70"/>
    <w:lvl w:ilvl="0" w:tplc="A912A754">
      <w:start w:val="1"/>
      <w:numFmt w:val="decimal"/>
      <w:lvlText w:val="%1."/>
      <w:lvlJc w:val="left"/>
      <w:pPr>
        <w:ind w:left="416" w:hanging="251"/>
        <w:jc w:val="left"/>
      </w:pPr>
      <w:rPr>
        <w:rFonts w:ascii="Times New Roman" w:eastAsia="Times New Roman" w:hAnsi="Times New Roman" w:cs="Times New Roman" w:hint="default"/>
        <w:b/>
        <w:bCs/>
        <w:i/>
        <w:iCs/>
        <w:color w:val="231F20"/>
        <w:w w:val="100"/>
        <w:sz w:val="16"/>
        <w:szCs w:val="16"/>
        <w:lang w:val="en-US" w:eastAsia="en-US" w:bidi="ar-SA"/>
      </w:rPr>
    </w:lvl>
    <w:lvl w:ilvl="1" w:tplc="EDC42D2C">
      <w:numFmt w:val="bullet"/>
      <w:lvlText w:val="•"/>
      <w:lvlJc w:val="left"/>
      <w:pPr>
        <w:ind w:left="1462" w:hanging="251"/>
      </w:pPr>
      <w:rPr>
        <w:rFonts w:hint="default"/>
        <w:lang w:val="en-US" w:eastAsia="en-US" w:bidi="ar-SA"/>
      </w:rPr>
    </w:lvl>
    <w:lvl w:ilvl="2" w:tplc="630E7BF4">
      <w:numFmt w:val="bullet"/>
      <w:lvlText w:val="•"/>
      <w:lvlJc w:val="left"/>
      <w:pPr>
        <w:ind w:left="2504" w:hanging="251"/>
      </w:pPr>
      <w:rPr>
        <w:rFonts w:hint="default"/>
        <w:lang w:val="en-US" w:eastAsia="en-US" w:bidi="ar-SA"/>
      </w:rPr>
    </w:lvl>
    <w:lvl w:ilvl="3" w:tplc="A8A07518">
      <w:numFmt w:val="bullet"/>
      <w:lvlText w:val="•"/>
      <w:lvlJc w:val="left"/>
      <w:pPr>
        <w:ind w:left="3546" w:hanging="251"/>
      </w:pPr>
      <w:rPr>
        <w:rFonts w:hint="default"/>
        <w:lang w:val="en-US" w:eastAsia="en-US" w:bidi="ar-SA"/>
      </w:rPr>
    </w:lvl>
    <w:lvl w:ilvl="4" w:tplc="7CC8740E">
      <w:numFmt w:val="bullet"/>
      <w:lvlText w:val="•"/>
      <w:lvlJc w:val="left"/>
      <w:pPr>
        <w:ind w:left="4588" w:hanging="251"/>
      </w:pPr>
      <w:rPr>
        <w:rFonts w:hint="default"/>
        <w:lang w:val="en-US" w:eastAsia="en-US" w:bidi="ar-SA"/>
      </w:rPr>
    </w:lvl>
    <w:lvl w:ilvl="5" w:tplc="AA7CDD40">
      <w:numFmt w:val="bullet"/>
      <w:lvlText w:val="•"/>
      <w:lvlJc w:val="left"/>
      <w:pPr>
        <w:ind w:left="5630" w:hanging="251"/>
      </w:pPr>
      <w:rPr>
        <w:rFonts w:hint="default"/>
        <w:lang w:val="en-US" w:eastAsia="en-US" w:bidi="ar-SA"/>
      </w:rPr>
    </w:lvl>
    <w:lvl w:ilvl="6" w:tplc="86D0758A">
      <w:numFmt w:val="bullet"/>
      <w:lvlText w:val="•"/>
      <w:lvlJc w:val="left"/>
      <w:pPr>
        <w:ind w:left="6672" w:hanging="251"/>
      </w:pPr>
      <w:rPr>
        <w:rFonts w:hint="default"/>
        <w:lang w:val="en-US" w:eastAsia="en-US" w:bidi="ar-SA"/>
      </w:rPr>
    </w:lvl>
    <w:lvl w:ilvl="7" w:tplc="94B44546">
      <w:numFmt w:val="bullet"/>
      <w:lvlText w:val="•"/>
      <w:lvlJc w:val="left"/>
      <w:pPr>
        <w:ind w:left="7714" w:hanging="251"/>
      </w:pPr>
      <w:rPr>
        <w:rFonts w:hint="default"/>
        <w:lang w:val="en-US" w:eastAsia="en-US" w:bidi="ar-SA"/>
      </w:rPr>
    </w:lvl>
    <w:lvl w:ilvl="8" w:tplc="FE1AEF5E">
      <w:numFmt w:val="bullet"/>
      <w:lvlText w:val="•"/>
      <w:lvlJc w:val="left"/>
      <w:pPr>
        <w:ind w:left="8756" w:hanging="251"/>
      </w:pPr>
      <w:rPr>
        <w:rFonts w:hint="default"/>
        <w:lang w:val="en-US" w:eastAsia="en-US" w:bidi="ar-SA"/>
      </w:rPr>
    </w:lvl>
  </w:abstractNum>
  <w:abstractNum w:abstractNumId="4">
    <w:nsid w:val="33550439"/>
    <w:multiLevelType w:val="multilevel"/>
    <w:tmpl w:val="72246EC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3D337B31"/>
    <w:multiLevelType w:val="multilevel"/>
    <w:tmpl w:val="9E54A25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
    <w:nsid w:val="3F212475"/>
    <w:multiLevelType w:val="multilevel"/>
    <w:tmpl w:val="C714D6E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nsid w:val="4A624B41"/>
    <w:multiLevelType w:val="multilevel"/>
    <w:tmpl w:val="76865DA2"/>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
    <w:nsid w:val="599F6659"/>
    <w:multiLevelType w:val="multilevel"/>
    <w:tmpl w:val="7E28453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
    <w:nsid w:val="5A9E2881"/>
    <w:multiLevelType w:val="multilevel"/>
    <w:tmpl w:val="50E0F004"/>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0">
    <w:nsid w:val="67CD7A16"/>
    <w:multiLevelType w:val="multilevel"/>
    <w:tmpl w:val="F782B9C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1">
    <w:nsid w:val="74094E15"/>
    <w:multiLevelType w:val="multilevel"/>
    <w:tmpl w:val="69CAC742"/>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2">
    <w:nsid w:val="791D2EF7"/>
    <w:multiLevelType w:val="multilevel"/>
    <w:tmpl w:val="074C5E02"/>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3">
    <w:nsid w:val="7B955815"/>
    <w:multiLevelType w:val="multilevel"/>
    <w:tmpl w:val="D09A6384"/>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num w:numId="1">
    <w:abstractNumId w:val="8"/>
  </w:num>
  <w:num w:numId="2">
    <w:abstractNumId w:val="5"/>
  </w:num>
  <w:num w:numId="3">
    <w:abstractNumId w:val="6"/>
  </w:num>
  <w:num w:numId="4">
    <w:abstractNumId w:val="13"/>
  </w:num>
  <w:num w:numId="5">
    <w:abstractNumId w:val="10"/>
  </w:num>
  <w:num w:numId="6">
    <w:abstractNumId w:val="12"/>
  </w:num>
  <w:num w:numId="7">
    <w:abstractNumId w:val="1"/>
  </w:num>
  <w:num w:numId="8">
    <w:abstractNumId w:val="9"/>
  </w:num>
  <w:num w:numId="9">
    <w:abstractNumId w:val="4"/>
  </w:num>
  <w:num w:numId="10">
    <w:abstractNumId w:val="11"/>
  </w:num>
  <w:num w:numId="11">
    <w:abstractNumId w:val="2"/>
  </w:num>
  <w:num w:numId="12">
    <w:abstractNumId w:val="7"/>
  </w:num>
  <w:num w:numId="13">
    <w:abstractNumId w:val="3"/>
  </w:num>
  <w:num w:numId="14">
    <w:abstractNumId w:val="0"/>
  </w:num>
  <w:num w:numId="15">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144D"/>
    <w:rsid w:val="00147D3E"/>
    <w:rsid w:val="003A03D9"/>
    <w:rsid w:val="004B0D64"/>
    <w:rsid w:val="004D144D"/>
    <w:rsid w:val="005E7735"/>
    <w:rsid w:val="0061004F"/>
    <w:rsid w:val="007440A2"/>
    <w:rsid w:val="00841CEC"/>
    <w:rsid w:val="00B22340"/>
    <w:rsid w:val="00C73E69"/>
    <w:rsid w:val="00CE00F0"/>
    <w:rsid w:val="00CF23D4"/>
    <w:rsid w:val="00D5434A"/>
    <w:rsid w:val="00E51FBC"/>
    <w:rsid w:val="00E56A67"/>
    <w:rsid w:val="00F43485"/>
  </w:rsids>
  <m:mathPr>
    <m:mathFont m:val="Cambria Math"/>
    <m:brkBin m:val="before"/>
    <m:brkBinSub m:val="--"/>
    <m:smallFrac m:val="0"/>
    <m:dispDef/>
    <m:lMargin m:val="0"/>
    <m:rMargin m:val="0"/>
    <m:defJc m:val="centerGroup"/>
    <m:wrapIndent m:val="1440"/>
    <m:intLim m:val="subSup"/>
    <m:naryLim m:val="undOvr"/>
  </m:mathPr>
  <w:themeFontLang w:val="en-GB"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lang w:val="en-GB"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3A03D9"/>
    <w:pPr>
      <w:suppressAutoHyphens/>
      <w:autoSpaceDN w:val="0"/>
      <w:textAlignment w:val="baseline"/>
    </w:pPr>
    <w:rPr>
      <w:rFonts w:ascii="Calibri" w:eastAsia="Calibri" w:hAnsi="Calibri" w:cs="Times New Roman"/>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rsid w:val="003A03D9"/>
    <w:pPr>
      <w:ind w:left="720"/>
    </w:pPr>
  </w:style>
  <w:style w:type="paragraph" w:customStyle="1" w:styleId="head">
    <w:name w:val="head"/>
    <w:basedOn w:val="Normal"/>
    <w:rsid w:val="003A03D9"/>
    <w:pPr>
      <w:suppressAutoHyphens w:val="0"/>
      <w:spacing w:before="100" w:after="100" w:line="240" w:lineRule="auto"/>
      <w:textAlignment w:val="auto"/>
    </w:pPr>
    <w:rPr>
      <w:rFonts w:ascii="Times New Roman" w:eastAsia="Times New Roman" w:hAnsi="Times New Roman"/>
      <w:sz w:val="24"/>
      <w:szCs w:val="24"/>
      <w:lang w:eastAsia="en-GB"/>
    </w:rPr>
  </w:style>
  <w:style w:type="paragraph" w:styleId="NormalWeb">
    <w:name w:val="Normal (Web)"/>
    <w:basedOn w:val="Normal"/>
    <w:rsid w:val="003A03D9"/>
    <w:pPr>
      <w:suppressAutoHyphens w:val="0"/>
      <w:spacing w:before="100" w:after="100" w:line="240" w:lineRule="auto"/>
      <w:textAlignment w:val="auto"/>
    </w:pPr>
    <w:rPr>
      <w:rFonts w:ascii="Times New Roman" w:eastAsia="Times New Roman" w:hAnsi="Times New Roman"/>
      <w:sz w:val="24"/>
      <w:szCs w:val="24"/>
      <w:lang w:eastAsia="en-GB"/>
    </w:rPr>
  </w:style>
  <w:style w:type="character" w:customStyle="1" w:styleId="head1">
    <w:name w:val="head1"/>
    <w:basedOn w:val="DefaultParagraphFont"/>
    <w:rsid w:val="003A03D9"/>
  </w:style>
  <w:style w:type="character" w:styleId="Hyperlink">
    <w:name w:val="Hyperlink"/>
    <w:basedOn w:val="DefaultParagraphFont"/>
    <w:rsid w:val="003A03D9"/>
    <w:rPr>
      <w:color w:val="0000FF"/>
      <w:u w:val="single"/>
    </w:rPr>
  </w:style>
  <w:style w:type="paragraph" w:styleId="BalloonText">
    <w:name w:val="Balloon Text"/>
    <w:basedOn w:val="Normal"/>
    <w:link w:val="BalloonTextChar"/>
    <w:uiPriority w:val="99"/>
    <w:semiHidden/>
    <w:unhideWhenUsed/>
    <w:rsid w:val="0061004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1004F"/>
    <w:rPr>
      <w:rFonts w:ascii="Tahoma" w:eastAsia="Calibri" w:hAnsi="Tahoma" w:cs="Tahoma"/>
      <w:sz w:val="16"/>
      <w:szCs w:val="16"/>
      <w:lang w:bidi="ar-SA"/>
    </w:rPr>
  </w:style>
  <w:style w:type="paragraph" w:styleId="Header">
    <w:name w:val="header"/>
    <w:basedOn w:val="Normal"/>
    <w:link w:val="HeaderChar"/>
    <w:uiPriority w:val="99"/>
    <w:unhideWhenUsed/>
    <w:rsid w:val="0061004F"/>
    <w:pPr>
      <w:tabs>
        <w:tab w:val="center" w:pos="4513"/>
        <w:tab w:val="right" w:pos="9026"/>
      </w:tabs>
      <w:spacing w:after="0" w:line="240" w:lineRule="auto"/>
    </w:pPr>
  </w:style>
  <w:style w:type="character" w:customStyle="1" w:styleId="HeaderChar">
    <w:name w:val="Header Char"/>
    <w:basedOn w:val="DefaultParagraphFont"/>
    <w:link w:val="Header"/>
    <w:uiPriority w:val="99"/>
    <w:rsid w:val="0061004F"/>
    <w:rPr>
      <w:rFonts w:ascii="Calibri" w:eastAsia="Calibri" w:hAnsi="Calibri" w:cs="Times New Roman"/>
      <w:szCs w:val="22"/>
      <w:lang w:bidi="ar-SA"/>
    </w:rPr>
  </w:style>
  <w:style w:type="paragraph" w:styleId="Footer">
    <w:name w:val="footer"/>
    <w:basedOn w:val="Normal"/>
    <w:link w:val="FooterChar"/>
    <w:uiPriority w:val="99"/>
    <w:unhideWhenUsed/>
    <w:rsid w:val="0061004F"/>
    <w:pPr>
      <w:tabs>
        <w:tab w:val="center" w:pos="4513"/>
        <w:tab w:val="right" w:pos="9026"/>
      </w:tabs>
      <w:spacing w:after="0" w:line="240" w:lineRule="auto"/>
    </w:pPr>
  </w:style>
  <w:style w:type="character" w:customStyle="1" w:styleId="FooterChar">
    <w:name w:val="Footer Char"/>
    <w:basedOn w:val="DefaultParagraphFont"/>
    <w:link w:val="Footer"/>
    <w:uiPriority w:val="99"/>
    <w:rsid w:val="0061004F"/>
    <w:rPr>
      <w:rFonts w:ascii="Calibri" w:eastAsia="Calibri" w:hAnsi="Calibri" w:cs="Times New Roman"/>
      <w:szCs w:val="22"/>
      <w:lang w:bidi="ar-SA"/>
    </w:rPr>
  </w:style>
  <w:style w:type="paragraph" w:customStyle="1" w:styleId="Default">
    <w:name w:val="Default"/>
    <w:rsid w:val="00CE00F0"/>
    <w:pPr>
      <w:suppressAutoHyphens/>
      <w:autoSpaceDE w:val="0"/>
      <w:autoSpaceDN w:val="0"/>
      <w:spacing w:after="0" w:line="240" w:lineRule="auto"/>
      <w:textAlignment w:val="baseline"/>
    </w:pPr>
    <w:rPr>
      <w:rFonts w:ascii="Arial" w:eastAsia="Calibri" w:hAnsi="Arial" w:cs="Arial"/>
      <w:color w:val="000000"/>
      <w:sz w:val="24"/>
      <w:szCs w:val="24"/>
      <w:lang w:bidi="ar-SA"/>
    </w:rPr>
  </w:style>
  <w:style w:type="table" w:styleId="TableGrid">
    <w:name w:val="Table Grid"/>
    <w:basedOn w:val="TableNormal"/>
    <w:uiPriority w:val="59"/>
    <w:rsid w:val="00F434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1"/>
    <w:qFormat/>
    <w:rsid w:val="00CF23D4"/>
    <w:pPr>
      <w:widowControl w:val="0"/>
      <w:suppressAutoHyphens w:val="0"/>
      <w:autoSpaceDE w:val="0"/>
      <w:spacing w:after="0" w:line="240" w:lineRule="auto"/>
      <w:textAlignment w:val="auto"/>
    </w:pPr>
    <w:rPr>
      <w:rFonts w:ascii="Times New Roman" w:eastAsia="Times New Roman" w:hAnsi="Times New Roman"/>
      <w:b/>
      <w:bCs/>
      <w:i/>
      <w:iCs/>
      <w:sz w:val="30"/>
      <w:szCs w:val="30"/>
      <w:lang w:val="en-US"/>
    </w:rPr>
  </w:style>
  <w:style w:type="character" w:customStyle="1" w:styleId="BodyTextChar">
    <w:name w:val="Body Text Char"/>
    <w:basedOn w:val="DefaultParagraphFont"/>
    <w:link w:val="BodyText"/>
    <w:uiPriority w:val="1"/>
    <w:rsid w:val="00CF23D4"/>
    <w:rPr>
      <w:rFonts w:ascii="Times New Roman" w:eastAsia="Times New Roman" w:hAnsi="Times New Roman" w:cs="Times New Roman"/>
      <w:b/>
      <w:bCs/>
      <w:i/>
      <w:iCs/>
      <w:sz w:val="30"/>
      <w:szCs w:val="30"/>
      <w:lang w:val="en-US" w:bidi="ar-SA"/>
    </w:rPr>
  </w:style>
  <w:style w:type="paragraph" w:customStyle="1" w:styleId="TableParagraph">
    <w:name w:val="Table Paragraph"/>
    <w:basedOn w:val="Normal"/>
    <w:uiPriority w:val="1"/>
    <w:qFormat/>
    <w:rsid w:val="00CF23D4"/>
    <w:pPr>
      <w:widowControl w:val="0"/>
      <w:suppressAutoHyphens w:val="0"/>
      <w:autoSpaceDE w:val="0"/>
      <w:spacing w:after="0" w:line="240" w:lineRule="auto"/>
      <w:textAlignment w:val="auto"/>
    </w:pPr>
    <w:rPr>
      <w:rFonts w:ascii="Times New Roman" w:eastAsia="Times New Roman" w:hAnsi="Times New Roman"/>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lang w:val="en-GB"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3A03D9"/>
    <w:pPr>
      <w:suppressAutoHyphens/>
      <w:autoSpaceDN w:val="0"/>
      <w:textAlignment w:val="baseline"/>
    </w:pPr>
    <w:rPr>
      <w:rFonts w:ascii="Calibri" w:eastAsia="Calibri" w:hAnsi="Calibri" w:cs="Times New Roman"/>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rsid w:val="003A03D9"/>
    <w:pPr>
      <w:ind w:left="720"/>
    </w:pPr>
  </w:style>
  <w:style w:type="paragraph" w:customStyle="1" w:styleId="head">
    <w:name w:val="head"/>
    <w:basedOn w:val="Normal"/>
    <w:rsid w:val="003A03D9"/>
    <w:pPr>
      <w:suppressAutoHyphens w:val="0"/>
      <w:spacing w:before="100" w:after="100" w:line="240" w:lineRule="auto"/>
      <w:textAlignment w:val="auto"/>
    </w:pPr>
    <w:rPr>
      <w:rFonts w:ascii="Times New Roman" w:eastAsia="Times New Roman" w:hAnsi="Times New Roman"/>
      <w:sz w:val="24"/>
      <w:szCs w:val="24"/>
      <w:lang w:eastAsia="en-GB"/>
    </w:rPr>
  </w:style>
  <w:style w:type="paragraph" w:styleId="NormalWeb">
    <w:name w:val="Normal (Web)"/>
    <w:basedOn w:val="Normal"/>
    <w:rsid w:val="003A03D9"/>
    <w:pPr>
      <w:suppressAutoHyphens w:val="0"/>
      <w:spacing w:before="100" w:after="100" w:line="240" w:lineRule="auto"/>
      <w:textAlignment w:val="auto"/>
    </w:pPr>
    <w:rPr>
      <w:rFonts w:ascii="Times New Roman" w:eastAsia="Times New Roman" w:hAnsi="Times New Roman"/>
      <w:sz w:val="24"/>
      <w:szCs w:val="24"/>
      <w:lang w:eastAsia="en-GB"/>
    </w:rPr>
  </w:style>
  <w:style w:type="character" w:customStyle="1" w:styleId="head1">
    <w:name w:val="head1"/>
    <w:basedOn w:val="DefaultParagraphFont"/>
    <w:rsid w:val="003A03D9"/>
  </w:style>
  <w:style w:type="character" w:styleId="Hyperlink">
    <w:name w:val="Hyperlink"/>
    <w:basedOn w:val="DefaultParagraphFont"/>
    <w:rsid w:val="003A03D9"/>
    <w:rPr>
      <w:color w:val="0000FF"/>
      <w:u w:val="single"/>
    </w:rPr>
  </w:style>
  <w:style w:type="paragraph" w:styleId="BalloonText">
    <w:name w:val="Balloon Text"/>
    <w:basedOn w:val="Normal"/>
    <w:link w:val="BalloonTextChar"/>
    <w:uiPriority w:val="99"/>
    <w:semiHidden/>
    <w:unhideWhenUsed/>
    <w:rsid w:val="0061004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1004F"/>
    <w:rPr>
      <w:rFonts w:ascii="Tahoma" w:eastAsia="Calibri" w:hAnsi="Tahoma" w:cs="Tahoma"/>
      <w:sz w:val="16"/>
      <w:szCs w:val="16"/>
      <w:lang w:bidi="ar-SA"/>
    </w:rPr>
  </w:style>
  <w:style w:type="paragraph" w:styleId="Header">
    <w:name w:val="header"/>
    <w:basedOn w:val="Normal"/>
    <w:link w:val="HeaderChar"/>
    <w:uiPriority w:val="99"/>
    <w:unhideWhenUsed/>
    <w:rsid w:val="0061004F"/>
    <w:pPr>
      <w:tabs>
        <w:tab w:val="center" w:pos="4513"/>
        <w:tab w:val="right" w:pos="9026"/>
      </w:tabs>
      <w:spacing w:after="0" w:line="240" w:lineRule="auto"/>
    </w:pPr>
  </w:style>
  <w:style w:type="character" w:customStyle="1" w:styleId="HeaderChar">
    <w:name w:val="Header Char"/>
    <w:basedOn w:val="DefaultParagraphFont"/>
    <w:link w:val="Header"/>
    <w:uiPriority w:val="99"/>
    <w:rsid w:val="0061004F"/>
    <w:rPr>
      <w:rFonts w:ascii="Calibri" w:eastAsia="Calibri" w:hAnsi="Calibri" w:cs="Times New Roman"/>
      <w:szCs w:val="22"/>
      <w:lang w:bidi="ar-SA"/>
    </w:rPr>
  </w:style>
  <w:style w:type="paragraph" w:styleId="Footer">
    <w:name w:val="footer"/>
    <w:basedOn w:val="Normal"/>
    <w:link w:val="FooterChar"/>
    <w:uiPriority w:val="99"/>
    <w:unhideWhenUsed/>
    <w:rsid w:val="0061004F"/>
    <w:pPr>
      <w:tabs>
        <w:tab w:val="center" w:pos="4513"/>
        <w:tab w:val="right" w:pos="9026"/>
      </w:tabs>
      <w:spacing w:after="0" w:line="240" w:lineRule="auto"/>
    </w:pPr>
  </w:style>
  <w:style w:type="character" w:customStyle="1" w:styleId="FooterChar">
    <w:name w:val="Footer Char"/>
    <w:basedOn w:val="DefaultParagraphFont"/>
    <w:link w:val="Footer"/>
    <w:uiPriority w:val="99"/>
    <w:rsid w:val="0061004F"/>
    <w:rPr>
      <w:rFonts w:ascii="Calibri" w:eastAsia="Calibri" w:hAnsi="Calibri" w:cs="Times New Roman"/>
      <w:szCs w:val="22"/>
      <w:lang w:bidi="ar-SA"/>
    </w:rPr>
  </w:style>
  <w:style w:type="paragraph" w:customStyle="1" w:styleId="Default">
    <w:name w:val="Default"/>
    <w:rsid w:val="00CE00F0"/>
    <w:pPr>
      <w:suppressAutoHyphens/>
      <w:autoSpaceDE w:val="0"/>
      <w:autoSpaceDN w:val="0"/>
      <w:spacing w:after="0" w:line="240" w:lineRule="auto"/>
      <w:textAlignment w:val="baseline"/>
    </w:pPr>
    <w:rPr>
      <w:rFonts w:ascii="Arial" w:eastAsia="Calibri" w:hAnsi="Arial" w:cs="Arial"/>
      <w:color w:val="000000"/>
      <w:sz w:val="24"/>
      <w:szCs w:val="24"/>
      <w:lang w:bidi="ar-SA"/>
    </w:rPr>
  </w:style>
  <w:style w:type="table" w:styleId="TableGrid">
    <w:name w:val="Table Grid"/>
    <w:basedOn w:val="TableNormal"/>
    <w:uiPriority w:val="59"/>
    <w:rsid w:val="00F434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1"/>
    <w:qFormat/>
    <w:rsid w:val="00CF23D4"/>
    <w:pPr>
      <w:widowControl w:val="0"/>
      <w:suppressAutoHyphens w:val="0"/>
      <w:autoSpaceDE w:val="0"/>
      <w:spacing w:after="0" w:line="240" w:lineRule="auto"/>
      <w:textAlignment w:val="auto"/>
    </w:pPr>
    <w:rPr>
      <w:rFonts w:ascii="Times New Roman" w:eastAsia="Times New Roman" w:hAnsi="Times New Roman"/>
      <w:b/>
      <w:bCs/>
      <w:i/>
      <w:iCs/>
      <w:sz w:val="30"/>
      <w:szCs w:val="30"/>
      <w:lang w:val="en-US"/>
    </w:rPr>
  </w:style>
  <w:style w:type="character" w:customStyle="1" w:styleId="BodyTextChar">
    <w:name w:val="Body Text Char"/>
    <w:basedOn w:val="DefaultParagraphFont"/>
    <w:link w:val="BodyText"/>
    <w:uiPriority w:val="1"/>
    <w:rsid w:val="00CF23D4"/>
    <w:rPr>
      <w:rFonts w:ascii="Times New Roman" w:eastAsia="Times New Roman" w:hAnsi="Times New Roman" w:cs="Times New Roman"/>
      <w:b/>
      <w:bCs/>
      <w:i/>
      <w:iCs/>
      <w:sz w:val="30"/>
      <w:szCs w:val="30"/>
      <w:lang w:val="en-US" w:bidi="ar-SA"/>
    </w:rPr>
  </w:style>
  <w:style w:type="paragraph" w:customStyle="1" w:styleId="TableParagraph">
    <w:name w:val="Table Paragraph"/>
    <w:basedOn w:val="Normal"/>
    <w:uiPriority w:val="1"/>
    <w:qFormat/>
    <w:rsid w:val="00CF23D4"/>
    <w:pPr>
      <w:widowControl w:val="0"/>
      <w:suppressAutoHyphens w:val="0"/>
      <w:autoSpaceDE w:val="0"/>
      <w:spacing w:after="0" w:line="240" w:lineRule="auto"/>
      <w:textAlignment w:val="auto"/>
    </w:pPr>
    <w:rPr>
      <w:rFonts w:ascii="Times New Roman" w:eastAsia="Times New Roman" w:hAnsi="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rbi.org.in/Scripts/BS_ViewMasDirections.aspx?id=1156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61</TotalTime>
  <Pages>5</Pages>
  <Words>2374</Words>
  <Characters>13532</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15875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ipbank</dc:creator>
  <cp:keywords/>
  <dc:description/>
  <cp:lastModifiedBy>ipbank</cp:lastModifiedBy>
  <cp:revision>8</cp:revision>
  <cp:lastPrinted>2022-06-23T05:03:00Z</cp:lastPrinted>
  <dcterms:created xsi:type="dcterms:W3CDTF">2022-06-20T05:49:00Z</dcterms:created>
  <dcterms:modified xsi:type="dcterms:W3CDTF">2022-07-21T10:02:00Z</dcterms:modified>
</cp:coreProperties>
</file>